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eastAsia="仿宋_GB2312"/>
          <w:color w:val="auto"/>
          <w:sz w:val="32"/>
        </w:rPr>
      </w:pPr>
    </w:p>
    <w:p>
      <w:pPr>
        <w:spacing w:line="560" w:lineRule="exact"/>
        <w:jc w:val="center"/>
        <w:rPr>
          <w:rFonts w:ascii="仿宋_GB2312" w:eastAsia="仿宋_GB2312"/>
          <w:color w:val="auto"/>
          <w:sz w:val="32"/>
        </w:rPr>
      </w:pPr>
    </w:p>
    <w:p>
      <w:pPr>
        <w:spacing w:line="560" w:lineRule="exact"/>
        <w:jc w:val="center"/>
        <w:rPr>
          <w:rFonts w:ascii="仿宋_GB2312" w:eastAsia="仿宋_GB2312"/>
          <w:color w:val="auto"/>
          <w:sz w:val="32"/>
        </w:rPr>
      </w:pPr>
    </w:p>
    <w:p>
      <w:pPr>
        <w:spacing w:line="560" w:lineRule="exact"/>
        <w:jc w:val="center"/>
        <w:rPr>
          <w:rFonts w:ascii="仿宋_GB2312" w:eastAsia="仿宋_GB2312"/>
          <w:color w:val="auto"/>
          <w:sz w:val="32"/>
        </w:rPr>
      </w:pPr>
    </w:p>
    <w:p>
      <w:pPr>
        <w:spacing w:line="560" w:lineRule="exact"/>
        <w:jc w:val="center"/>
        <w:rPr>
          <w:rFonts w:ascii="仿宋_GB2312" w:eastAsia="仿宋_GB2312"/>
          <w:color w:val="auto"/>
          <w:sz w:val="32"/>
        </w:rPr>
      </w:pPr>
    </w:p>
    <w:p>
      <w:pPr>
        <w:spacing w:line="560" w:lineRule="exact"/>
        <w:jc w:val="center"/>
        <w:rPr>
          <w:rFonts w:ascii="仿宋_GB2312" w:eastAsia="仿宋_GB2312"/>
          <w:color w:val="auto"/>
          <w:sz w:val="32"/>
        </w:rPr>
      </w:pPr>
    </w:p>
    <w:p>
      <w:pPr>
        <w:spacing w:line="560" w:lineRule="exact"/>
        <w:jc w:val="center"/>
        <w:rPr>
          <w:rFonts w:ascii="仿宋_GB2312" w:eastAsia="仿宋_GB2312"/>
          <w:color w:val="auto"/>
          <w:sz w:val="32"/>
        </w:rPr>
      </w:pPr>
    </w:p>
    <w:p>
      <w:pPr>
        <w:spacing w:line="560" w:lineRule="exact"/>
        <w:jc w:val="center"/>
        <w:rPr>
          <w:rFonts w:ascii="仿宋_GB2312" w:eastAsia="仿宋_GB2312"/>
          <w:color w:val="auto"/>
          <w:sz w:val="28"/>
          <w:szCs w:val="28"/>
        </w:rPr>
      </w:pPr>
    </w:p>
    <w:p>
      <w:pPr>
        <w:spacing w:line="560" w:lineRule="exact"/>
        <w:jc w:val="center"/>
        <w:rPr>
          <w:rFonts w:ascii="楷体_GB2312" w:eastAsia="楷体_GB2312"/>
          <w:color w:val="auto"/>
          <w:sz w:val="32"/>
        </w:rPr>
      </w:pPr>
      <w:r>
        <w:rPr>
          <w:rFonts w:hint="eastAsia" w:ascii="仿宋_GB2312" w:eastAsia="仿宋_GB2312"/>
          <w:color w:val="auto"/>
          <w:sz w:val="32"/>
        </w:rPr>
        <w:t>校学位字〔2017〕6号</w:t>
      </w:r>
    </w:p>
    <w:p>
      <w:pPr>
        <w:spacing w:line="560" w:lineRule="exact"/>
        <w:jc w:val="center"/>
        <w:rPr>
          <w:rFonts w:ascii="仿宋_GB2312" w:hAnsi="宋体" w:eastAsia="仿宋_GB2312" w:cs="Arial"/>
          <w:color w:val="auto"/>
          <w:kern w:val="0"/>
          <w:sz w:val="32"/>
          <w:szCs w:val="32"/>
        </w:rPr>
      </w:pPr>
    </w:p>
    <w:p>
      <w:pPr>
        <w:spacing w:line="560" w:lineRule="exact"/>
        <w:jc w:val="center"/>
        <w:rPr>
          <w:rFonts w:ascii="方正小标宋简体" w:eastAsia="方正小标宋简体"/>
          <w:color w:val="auto"/>
          <w:sz w:val="40"/>
          <w:szCs w:val="40"/>
        </w:rPr>
      </w:pPr>
    </w:p>
    <w:p>
      <w:pPr>
        <w:spacing w:line="560" w:lineRule="exact"/>
        <w:jc w:val="center"/>
        <w:rPr>
          <w:rFonts w:ascii="方正小标宋简体" w:eastAsia="方正小标宋简体"/>
          <w:color w:val="auto"/>
          <w:sz w:val="40"/>
          <w:szCs w:val="40"/>
        </w:rPr>
      </w:pPr>
      <w:r>
        <w:rPr>
          <w:rFonts w:hint="eastAsia" w:ascii="方正小标宋简体" w:eastAsia="方正小标宋简体"/>
          <w:color w:val="auto"/>
          <w:sz w:val="40"/>
          <w:szCs w:val="40"/>
        </w:rPr>
        <w:t>河北科技师范学院</w:t>
      </w:r>
    </w:p>
    <w:p>
      <w:pPr>
        <w:spacing w:line="560" w:lineRule="exact"/>
        <w:jc w:val="center"/>
        <w:rPr>
          <w:rFonts w:ascii="方正小标宋简体" w:hAnsi="宋体" w:eastAsia="方正小标宋简体"/>
          <w:color w:val="auto"/>
          <w:sz w:val="40"/>
          <w:szCs w:val="40"/>
        </w:rPr>
      </w:pPr>
      <w:r>
        <w:rPr>
          <w:rFonts w:hint="eastAsia" w:ascii="方正小标宋简体" w:hAnsi="宋体" w:eastAsia="方正小标宋简体"/>
          <w:color w:val="auto"/>
          <w:sz w:val="40"/>
          <w:szCs w:val="40"/>
        </w:rPr>
        <w:t>关于印发《河北科技师范学院</w:t>
      </w:r>
      <w:r>
        <w:rPr>
          <w:rFonts w:hint="eastAsia" w:ascii="方正小标宋简体" w:hAnsi="Arial Helvetica sans-serif" w:eastAsia="方正小标宋简体" w:cs="宋体"/>
          <w:color w:val="auto"/>
          <w:kern w:val="0"/>
          <w:sz w:val="40"/>
          <w:szCs w:val="40"/>
        </w:rPr>
        <w:t>学位授予工作实施细则（</w:t>
      </w:r>
      <w:r>
        <w:rPr>
          <w:rFonts w:hint="eastAsia" w:ascii="方正小标宋简体" w:hAnsi="宋体" w:eastAsia="方正小标宋简体"/>
          <w:color w:val="auto"/>
          <w:sz w:val="40"/>
          <w:szCs w:val="40"/>
        </w:rPr>
        <w:t>修订）》的通知</w:t>
      </w:r>
    </w:p>
    <w:p>
      <w:pPr>
        <w:spacing w:line="560" w:lineRule="exact"/>
        <w:jc w:val="center"/>
        <w:rPr>
          <w:rFonts w:ascii="方正小标宋简体" w:hAnsi="宋体" w:eastAsia="方正小标宋简体"/>
          <w:b/>
          <w:color w:val="auto"/>
          <w:sz w:val="40"/>
          <w:szCs w:val="40"/>
        </w:rPr>
      </w:pPr>
    </w:p>
    <w:p>
      <w:pPr>
        <w:spacing w:line="560" w:lineRule="exact"/>
        <w:rPr>
          <w:rFonts w:ascii="楷体_GB2312" w:eastAsia="楷体_GB2312"/>
          <w:color w:val="auto"/>
          <w:sz w:val="32"/>
          <w:szCs w:val="32"/>
        </w:rPr>
      </w:pPr>
    </w:p>
    <w:p>
      <w:pPr>
        <w:spacing w:line="560" w:lineRule="exact"/>
        <w:rPr>
          <w:rFonts w:ascii="楷体_GB2312" w:eastAsia="楷体_GB2312"/>
          <w:color w:val="auto"/>
          <w:sz w:val="32"/>
          <w:szCs w:val="32"/>
        </w:rPr>
      </w:pPr>
      <w:r>
        <w:rPr>
          <w:rFonts w:hint="eastAsia" w:ascii="楷体_GB2312" w:eastAsia="楷体_GB2312"/>
          <w:color w:val="auto"/>
          <w:sz w:val="32"/>
          <w:szCs w:val="32"/>
        </w:rPr>
        <w:t>各院（系、部）及相关处室：</w:t>
      </w:r>
    </w:p>
    <w:p>
      <w:pPr>
        <w:spacing w:line="560" w:lineRule="exact"/>
        <w:ind w:firstLine="640" w:firstLineChars="200"/>
        <w:rPr>
          <w:rFonts w:ascii="楷体_GB2312" w:eastAsia="楷体_GB2312"/>
          <w:color w:val="auto"/>
          <w:sz w:val="32"/>
          <w:szCs w:val="32"/>
        </w:rPr>
      </w:pPr>
      <w:r>
        <w:rPr>
          <w:rFonts w:hint="eastAsia" w:ascii="楷体_GB2312" w:eastAsia="楷体_GB2312"/>
          <w:color w:val="auto"/>
          <w:sz w:val="32"/>
          <w:szCs w:val="32"/>
        </w:rPr>
        <w:t>《河北科技师范学院学位授予工作实施细则（修订）》已经校学位评定委员会讨论通过，现印发实施。</w:t>
      </w:r>
    </w:p>
    <w:p>
      <w:pPr>
        <w:spacing w:line="560" w:lineRule="exact"/>
        <w:rPr>
          <w:rFonts w:ascii="仿宋_GB2312" w:eastAsia="仿宋_GB2312"/>
          <w:color w:val="auto"/>
          <w:sz w:val="32"/>
          <w:szCs w:val="32"/>
        </w:rPr>
      </w:pPr>
    </w:p>
    <w:p>
      <w:pPr>
        <w:spacing w:line="560" w:lineRule="exact"/>
        <w:rPr>
          <w:rFonts w:ascii="仿宋_GB2312" w:eastAsia="仿宋_GB2312"/>
          <w:color w:val="auto"/>
          <w:sz w:val="32"/>
          <w:szCs w:val="32"/>
        </w:rPr>
      </w:pPr>
    </w:p>
    <w:p>
      <w:pPr>
        <w:spacing w:line="560" w:lineRule="exact"/>
        <w:ind w:firstLine="4960" w:firstLineChars="1550"/>
        <w:rPr>
          <w:rFonts w:ascii="楷体_GB2312" w:eastAsia="楷体_GB2312"/>
          <w:color w:val="auto"/>
          <w:sz w:val="32"/>
          <w:szCs w:val="32"/>
        </w:rPr>
      </w:pPr>
      <w:r>
        <w:rPr>
          <w:rFonts w:hint="eastAsia" w:ascii="楷体_GB2312" w:eastAsia="楷体_GB2312"/>
          <w:color w:val="auto"/>
          <w:sz w:val="32"/>
          <w:szCs w:val="32"/>
        </w:rPr>
        <w:t>河北科技师范学院</w:t>
      </w:r>
    </w:p>
    <w:p>
      <w:pPr>
        <w:spacing w:line="560" w:lineRule="exact"/>
        <w:ind w:firstLine="570"/>
        <w:rPr>
          <w:rFonts w:ascii="楷体_GB2312" w:eastAsia="楷体_GB2312"/>
          <w:color w:val="auto"/>
          <w:sz w:val="32"/>
          <w:szCs w:val="32"/>
        </w:rPr>
      </w:pPr>
      <w:r>
        <w:rPr>
          <w:rFonts w:hint="eastAsia" w:ascii="楷体_GB2312" w:eastAsia="楷体_GB2312"/>
          <w:color w:val="auto"/>
          <w:sz w:val="32"/>
          <w:szCs w:val="32"/>
        </w:rPr>
        <w:t xml:space="preserve">                            2017年8月15日</w:t>
      </w:r>
    </w:p>
    <w:p>
      <w:pPr>
        <w:spacing w:line="560" w:lineRule="exact"/>
        <w:jc w:val="center"/>
        <w:rPr>
          <w:rFonts w:ascii="方正小标宋简体" w:eastAsia="方正小标宋简体"/>
          <w:color w:val="auto"/>
          <w:sz w:val="40"/>
          <w:szCs w:val="40"/>
        </w:rPr>
      </w:pPr>
      <w:bookmarkStart w:id="0" w:name="_Toc318981229"/>
      <w:bookmarkStart w:id="1" w:name="_Toc318893476"/>
      <w:bookmarkStart w:id="2" w:name="_Toc350240774"/>
      <w:bookmarkStart w:id="3" w:name="_Toc319496188"/>
      <w:bookmarkStart w:id="4" w:name="_Toc318902452"/>
      <w:bookmarkStart w:id="5" w:name="_Toc319413042"/>
      <w:r>
        <w:rPr>
          <w:rFonts w:hint="eastAsia" w:ascii="方正小标宋简体" w:eastAsia="方正小标宋简体"/>
          <w:color w:val="auto"/>
          <w:sz w:val="40"/>
          <w:szCs w:val="40"/>
        </w:rPr>
        <w:t>河北科技师范学院</w:t>
      </w:r>
    </w:p>
    <w:p>
      <w:pPr>
        <w:spacing w:line="560" w:lineRule="exact"/>
        <w:jc w:val="center"/>
        <w:rPr>
          <w:rFonts w:ascii="方正小标宋简体" w:eastAsia="方正小标宋简体"/>
          <w:color w:val="auto"/>
          <w:sz w:val="40"/>
          <w:szCs w:val="40"/>
        </w:rPr>
      </w:pPr>
      <w:r>
        <w:rPr>
          <w:rFonts w:hint="eastAsia" w:ascii="方正小标宋简体" w:eastAsia="方正小标宋简体"/>
          <w:color w:val="auto"/>
          <w:sz w:val="40"/>
          <w:szCs w:val="40"/>
        </w:rPr>
        <w:t>学位授予工作实施细则</w:t>
      </w:r>
      <w:bookmarkEnd w:id="0"/>
      <w:bookmarkEnd w:id="1"/>
      <w:bookmarkEnd w:id="2"/>
      <w:bookmarkEnd w:id="3"/>
      <w:bookmarkEnd w:id="4"/>
      <w:bookmarkEnd w:id="5"/>
      <w:r>
        <w:rPr>
          <w:rFonts w:hint="eastAsia" w:ascii="方正小标宋简体" w:eastAsia="方正小标宋简体"/>
          <w:color w:val="auto"/>
          <w:sz w:val="40"/>
          <w:szCs w:val="40"/>
        </w:rPr>
        <w:t>（修订）</w:t>
      </w:r>
    </w:p>
    <w:p>
      <w:pPr>
        <w:pStyle w:val="3"/>
        <w:snapToGrid w:val="0"/>
        <w:spacing w:line="560" w:lineRule="exact"/>
        <w:jc w:val="center"/>
        <w:rPr>
          <w:rFonts w:ascii="黑体" w:hAnsi="仿宋" w:eastAsia="黑体"/>
          <w:bCs/>
          <w:color w:val="auto"/>
          <w:sz w:val="32"/>
          <w:szCs w:val="32"/>
        </w:rPr>
      </w:pPr>
    </w:p>
    <w:p>
      <w:pPr>
        <w:pStyle w:val="3"/>
        <w:snapToGrid w:val="0"/>
        <w:spacing w:line="540" w:lineRule="exact"/>
        <w:jc w:val="center"/>
        <w:rPr>
          <w:rFonts w:ascii="黑体" w:hAnsi="仿宋" w:eastAsia="黑体"/>
          <w:bCs/>
          <w:color w:val="auto"/>
          <w:sz w:val="32"/>
          <w:szCs w:val="32"/>
        </w:rPr>
      </w:pPr>
      <w:r>
        <w:rPr>
          <w:rFonts w:hint="eastAsia" w:ascii="黑体" w:hAnsi="仿宋" w:eastAsia="黑体"/>
          <w:bCs/>
          <w:color w:val="auto"/>
          <w:sz w:val="32"/>
          <w:szCs w:val="32"/>
        </w:rPr>
        <w:t>第一章  总  则</w:t>
      </w:r>
    </w:p>
    <w:p>
      <w:pPr>
        <w:pStyle w:val="8"/>
        <w:spacing w:before="0" w:beforeAutospacing="0" w:after="0" w:afterAutospacing="0" w:line="540" w:lineRule="exact"/>
        <w:rPr>
          <w:rFonts w:ascii="仿宋_GB2312" w:hAnsi="仿宋" w:eastAsia="仿宋_GB2312"/>
          <w:color w:val="auto"/>
          <w:kern w:val="2"/>
          <w:sz w:val="32"/>
          <w:szCs w:val="32"/>
        </w:rPr>
      </w:pPr>
      <w:r>
        <w:rPr>
          <w:rFonts w:hint="eastAsia" w:ascii="黑体" w:hAnsi="仿宋" w:eastAsia="黑体"/>
          <w:color w:val="auto"/>
          <w:sz w:val="32"/>
          <w:szCs w:val="32"/>
        </w:rPr>
        <w:t xml:space="preserve">    第一条</w:t>
      </w:r>
      <w:r>
        <w:rPr>
          <w:rFonts w:hint="eastAsia" w:ascii="仿宋_GB2312" w:hAnsi="仿宋" w:eastAsia="仿宋_GB2312"/>
          <w:b/>
          <w:color w:val="auto"/>
          <w:sz w:val="32"/>
          <w:szCs w:val="32"/>
        </w:rPr>
        <w:t xml:space="preserve">  </w:t>
      </w:r>
      <w:r>
        <w:rPr>
          <w:rFonts w:hint="eastAsia" w:ascii="仿宋_GB2312" w:hAnsi="仿宋" w:eastAsia="仿宋_GB2312"/>
          <w:color w:val="auto"/>
          <w:kern w:val="2"/>
          <w:sz w:val="32"/>
          <w:szCs w:val="32"/>
        </w:rPr>
        <w:t>根据《中华人民共和国学位条例》、《中华人民共和国学位条例暂行实施办法》及国家相关文件，结合学校的实际情况，</w:t>
      </w:r>
      <w:r>
        <w:rPr>
          <w:rFonts w:hint="eastAsia" w:ascii="仿宋_GB2312" w:hAnsi="仿宋" w:eastAsia="仿宋_GB2312"/>
          <w:color w:val="auto"/>
          <w:kern w:val="2"/>
          <w:sz w:val="32"/>
          <w:szCs w:val="32"/>
          <w:lang w:val="en-US" w:eastAsia="zh-CN"/>
        </w:rPr>
        <w:t>特</w:t>
      </w:r>
      <w:r>
        <w:rPr>
          <w:rFonts w:hint="eastAsia" w:ascii="仿宋_GB2312" w:hAnsi="仿宋" w:eastAsia="仿宋_GB2312"/>
          <w:color w:val="auto"/>
          <w:kern w:val="2"/>
          <w:sz w:val="32"/>
          <w:szCs w:val="32"/>
        </w:rPr>
        <w:t>制定本实施细则。</w:t>
      </w:r>
    </w:p>
    <w:p>
      <w:pPr>
        <w:snapToGrid w:val="0"/>
        <w:spacing w:line="540" w:lineRule="exact"/>
        <w:ind w:firstLine="640" w:firstLineChars="200"/>
        <w:rPr>
          <w:rFonts w:ascii="仿宋_GB2312" w:hAnsi="仿宋" w:eastAsia="仿宋_GB2312"/>
          <w:color w:val="auto"/>
          <w:sz w:val="32"/>
          <w:szCs w:val="32"/>
        </w:rPr>
      </w:pPr>
      <w:r>
        <w:rPr>
          <w:rFonts w:hint="eastAsia" w:ascii="黑体" w:hAnsi="仿宋" w:eastAsia="黑体"/>
          <w:color w:val="auto"/>
          <w:sz w:val="32"/>
          <w:szCs w:val="32"/>
        </w:rPr>
        <w:t>第二条</w:t>
      </w:r>
      <w:r>
        <w:rPr>
          <w:rFonts w:hint="eastAsia" w:ascii="仿宋_GB2312" w:hAnsi="仿宋" w:eastAsia="仿宋_GB2312"/>
          <w:color w:val="auto"/>
          <w:sz w:val="32"/>
          <w:szCs w:val="32"/>
        </w:rPr>
        <w:t xml:space="preserve">  经国务院学位委员会批准，我校有权授予学士学位、硕士学位，按照国家批准或备案的学科门类或专业学位类别授予。</w:t>
      </w:r>
    </w:p>
    <w:p>
      <w:pPr>
        <w:snapToGrid w:val="0"/>
        <w:spacing w:line="540" w:lineRule="exact"/>
        <w:ind w:firstLine="640" w:firstLineChars="200"/>
        <w:rPr>
          <w:rFonts w:ascii="仿宋_GB2312" w:hAnsi="仿宋" w:eastAsia="仿宋_GB2312"/>
          <w:color w:val="auto"/>
          <w:sz w:val="32"/>
          <w:szCs w:val="32"/>
        </w:rPr>
      </w:pPr>
      <w:r>
        <w:rPr>
          <w:rFonts w:hint="eastAsia" w:ascii="黑体" w:hAnsi="仿宋" w:eastAsia="黑体"/>
          <w:color w:val="auto"/>
          <w:sz w:val="32"/>
          <w:szCs w:val="32"/>
        </w:rPr>
        <w:t>第三条</w:t>
      </w:r>
      <w:r>
        <w:rPr>
          <w:rFonts w:hint="eastAsia" w:ascii="仿宋_GB2312" w:hAnsi="仿宋" w:eastAsia="仿宋_GB2312"/>
          <w:color w:val="auto"/>
          <w:sz w:val="32"/>
          <w:szCs w:val="32"/>
        </w:rPr>
        <w:t xml:space="preserve">  凡热爱祖国，拥护《中华人民共和国宪法》，遵纪守法，恪守学术规范，品行端正，服从国家需要，具有相应学术水平者，均可按本细则的有关规定申请相应的学位。</w:t>
      </w:r>
    </w:p>
    <w:p>
      <w:pPr>
        <w:snapToGrid w:val="0"/>
        <w:spacing w:line="540" w:lineRule="exact"/>
        <w:ind w:firstLine="640" w:firstLineChars="200"/>
        <w:rPr>
          <w:rFonts w:ascii="仿宋_GB2312" w:hAnsi="仿宋" w:eastAsia="仿宋_GB2312"/>
          <w:color w:val="auto"/>
          <w:sz w:val="32"/>
          <w:szCs w:val="32"/>
        </w:rPr>
      </w:pPr>
      <w:r>
        <w:rPr>
          <w:rFonts w:hint="eastAsia" w:ascii="黑体" w:hAnsi="仿宋" w:eastAsia="黑体"/>
          <w:color w:val="auto"/>
          <w:sz w:val="32"/>
          <w:szCs w:val="32"/>
        </w:rPr>
        <w:t>第四条</w:t>
      </w:r>
      <w:r>
        <w:rPr>
          <w:rFonts w:hint="eastAsia" w:ascii="仿宋_GB2312" w:hAnsi="仿宋" w:eastAsia="仿宋_GB2312"/>
          <w:color w:val="auto"/>
          <w:sz w:val="32"/>
          <w:szCs w:val="32"/>
        </w:rPr>
        <w:t xml:space="preserve">  学位申请人在向河北科技师范学院申请学位的同时，不得向其他学位授予单位申请相同学位。</w:t>
      </w:r>
    </w:p>
    <w:p>
      <w:pPr>
        <w:pStyle w:val="3"/>
        <w:snapToGrid w:val="0"/>
        <w:spacing w:line="540" w:lineRule="exact"/>
        <w:jc w:val="center"/>
        <w:rPr>
          <w:rFonts w:ascii="黑体" w:hAnsi="仿宋" w:eastAsia="黑体"/>
          <w:bCs/>
          <w:color w:val="auto"/>
          <w:sz w:val="32"/>
          <w:szCs w:val="32"/>
        </w:rPr>
      </w:pPr>
    </w:p>
    <w:p>
      <w:pPr>
        <w:pStyle w:val="3"/>
        <w:snapToGrid w:val="0"/>
        <w:spacing w:line="540" w:lineRule="exact"/>
        <w:jc w:val="center"/>
        <w:rPr>
          <w:rFonts w:ascii="黑体" w:hAnsi="仿宋" w:eastAsia="黑体"/>
          <w:bCs/>
          <w:color w:val="auto"/>
          <w:sz w:val="32"/>
          <w:szCs w:val="32"/>
        </w:rPr>
      </w:pPr>
      <w:r>
        <w:rPr>
          <w:rFonts w:hint="eastAsia" w:ascii="黑体" w:hAnsi="仿宋" w:eastAsia="黑体"/>
          <w:bCs/>
          <w:color w:val="auto"/>
          <w:sz w:val="32"/>
          <w:szCs w:val="32"/>
        </w:rPr>
        <w:t>第二章  学位评定委员会</w:t>
      </w:r>
    </w:p>
    <w:p>
      <w:pPr>
        <w:snapToGrid w:val="0"/>
        <w:spacing w:line="540" w:lineRule="exact"/>
        <w:ind w:firstLine="640" w:firstLineChars="200"/>
        <w:rPr>
          <w:rFonts w:ascii="仿宋_GB2312" w:hAnsi="仿宋" w:eastAsia="仿宋_GB2312"/>
          <w:color w:val="auto"/>
          <w:sz w:val="32"/>
          <w:szCs w:val="32"/>
        </w:rPr>
      </w:pPr>
      <w:r>
        <w:rPr>
          <w:rFonts w:hint="eastAsia" w:ascii="黑体" w:hAnsi="仿宋" w:eastAsia="黑体" w:cs="宋体"/>
          <w:color w:val="auto"/>
          <w:kern w:val="0"/>
          <w:sz w:val="32"/>
          <w:szCs w:val="32"/>
        </w:rPr>
        <w:t>第五条</w:t>
      </w:r>
      <w:r>
        <w:rPr>
          <w:rFonts w:hint="eastAsia" w:ascii="仿宋_GB2312" w:hAnsi="仿宋" w:eastAsia="仿宋_GB2312"/>
          <w:color w:val="auto"/>
          <w:sz w:val="32"/>
          <w:szCs w:val="32"/>
        </w:rPr>
        <w:t xml:space="preserve">  学位评定委员会委员（一般为19～25人）任期3年。委员会设主席1人，副主席2人，秘书长2人（硕士学位、学士学位各1人）。学位评定委员会由校长、分管学位与研究生教育的副校长、分管本科教学的副校长、分管学生工作的副校长、各学位评定分委员会主席，以及研究生部、教务处、科研处和学生处等部门的负责人组成。学位评定委员会主席一般由校长担任。</w:t>
      </w:r>
    </w:p>
    <w:p>
      <w:pPr>
        <w:snapToGrid w:val="0"/>
        <w:spacing w:line="540" w:lineRule="exact"/>
        <w:ind w:firstLine="640" w:firstLineChars="200"/>
        <w:rPr>
          <w:rFonts w:ascii="仿宋_GB2312" w:hAnsi="仿宋" w:eastAsia="仿宋_GB2312"/>
          <w:color w:val="auto"/>
          <w:sz w:val="32"/>
          <w:szCs w:val="32"/>
        </w:rPr>
      </w:pPr>
      <w:r>
        <w:rPr>
          <w:rFonts w:hint="eastAsia" w:ascii="黑体" w:hAnsi="仿宋" w:eastAsia="黑体" w:cs="宋体"/>
          <w:color w:val="auto"/>
          <w:kern w:val="0"/>
          <w:sz w:val="32"/>
          <w:szCs w:val="32"/>
        </w:rPr>
        <w:t>第六条</w:t>
      </w:r>
      <w:r>
        <w:rPr>
          <w:rFonts w:hint="eastAsia" w:ascii="仿宋_GB2312" w:hAnsi="仿宋" w:eastAsia="仿宋_GB2312"/>
          <w:color w:val="auto"/>
          <w:sz w:val="32"/>
          <w:szCs w:val="32"/>
        </w:rPr>
        <w:t xml:space="preserve">  校学位评定委员会设办公室（简称校学位办），校学位办设在研究生部，负责全校学位管理工作。硕士学位的具体工作由研究生部负责，学士学位的具体工作由教务处负责。</w:t>
      </w:r>
    </w:p>
    <w:p>
      <w:pPr>
        <w:snapToGrid w:val="0"/>
        <w:spacing w:line="540" w:lineRule="exact"/>
        <w:ind w:firstLine="640" w:firstLineChars="200"/>
        <w:rPr>
          <w:rFonts w:ascii="仿宋_GB2312" w:hAnsi="仿宋" w:eastAsia="仿宋_GB2312"/>
          <w:color w:val="auto"/>
          <w:sz w:val="32"/>
          <w:szCs w:val="32"/>
        </w:rPr>
      </w:pPr>
      <w:r>
        <w:rPr>
          <w:rFonts w:hint="eastAsia" w:ascii="黑体" w:hAnsi="仿宋" w:eastAsia="黑体" w:cs="宋体"/>
          <w:color w:val="auto"/>
          <w:kern w:val="0"/>
          <w:sz w:val="32"/>
          <w:szCs w:val="32"/>
        </w:rPr>
        <w:t>第七条</w:t>
      </w:r>
      <w:r>
        <w:rPr>
          <w:rFonts w:hint="eastAsia" w:ascii="仿宋_GB2312" w:hAnsi="仿宋" w:eastAsia="仿宋_GB2312"/>
          <w:color w:val="auto"/>
          <w:sz w:val="32"/>
          <w:szCs w:val="32"/>
        </w:rPr>
        <w:t xml:space="preserve">  学位评定委员会根据需要和实际情况，按学院（系）设置学位评定分委员会。学位评定分委员会由7～15人组成，任期3年。分委员会委员从本院（系）的主要业务负责人和专家中产生，分委员会设主席1人，副主席1～2人，秘书1人，主席一般由院长（主任）担任。</w:t>
      </w:r>
    </w:p>
    <w:p>
      <w:pPr>
        <w:snapToGrid w:val="0"/>
        <w:spacing w:line="540" w:lineRule="exact"/>
        <w:ind w:firstLine="640" w:firstLineChars="200"/>
        <w:rPr>
          <w:rFonts w:ascii="仿宋_GB2312" w:hAnsi="仿宋" w:eastAsia="仿宋_GB2312"/>
          <w:color w:val="auto"/>
          <w:sz w:val="32"/>
          <w:szCs w:val="32"/>
        </w:rPr>
      </w:pPr>
      <w:r>
        <w:rPr>
          <w:rFonts w:hint="eastAsia" w:ascii="黑体" w:hAnsi="仿宋" w:eastAsia="黑体" w:cs="宋体"/>
          <w:color w:val="auto"/>
          <w:kern w:val="0"/>
          <w:sz w:val="32"/>
          <w:szCs w:val="32"/>
        </w:rPr>
        <w:t>第八条</w:t>
      </w:r>
      <w:r>
        <w:rPr>
          <w:rFonts w:hint="eastAsia" w:ascii="仿宋_GB2312" w:hAnsi="仿宋" w:eastAsia="仿宋_GB2312"/>
          <w:color w:val="auto"/>
          <w:sz w:val="32"/>
          <w:szCs w:val="32"/>
        </w:rPr>
        <w:t xml:space="preserve">  学位评定分委员会因人员变动需要调整的，由各院（系）提出，校学位办审核，由校学位评定委员会主席批准；校学位评定委员会的人员调整由河北省人民政府学位委员会批准。</w:t>
      </w:r>
    </w:p>
    <w:p>
      <w:pPr>
        <w:snapToGrid w:val="0"/>
        <w:spacing w:line="540" w:lineRule="exact"/>
        <w:ind w:firstLine="640" w:firstLineChars="200"/>
        <w:rPr>
          <w:rFonts w:ascii="仿宋_GB2312" w:hAnsi="仿宋" w:eastAsia="仿宋_GB2312"/>
          <w:color w:val="auto"/>
          <w:sz w:val="32"/>
          <w:szCs w:val="32"/>
        </w:rPr>
      </w:pPr>
      <w:r>
        <w:rPr>
          <w:rFonts w:hint="eastAsia" w:ascii="黑体" w:hAnsi="仿宋" w:eastAsia="黑体" w:cs="宋体"/>
          <w:color w:val="auto"/>
          <w:kern w:val="0"/>
          <w:sz w:val="32"/>
          <w:szCs w:val="32"/>
        </w:rPr>
        <w:t>第九条</w:t>
      </w:r>
      <w:r>
        <w:rPr>
          <w:rFonts w:hint="eastAsia" w:ascii="仿宋_GB2312" w:hAnsi="仿宋" w:eastAsia="仿宋_GB2312"/>
          <w:color w:val="auto"/>
          <w:sz w:val="32"/>
          <w:szCs w:val="32"/>
        </w:rPr>
        <w:t xml:space="preserve">  学位评定委员会职责</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1.审定学校学位授予的相关规章制度。</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2.审查通过申请学士学位的人员名单；作出授予硕士学位的决定。</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3.组织对学位授予质量进行评估。</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4.审定申请新增的学科、专业。</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5.组织全校学位授权点的评估工作。</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6.审批学位评定分委员会成员名单，</w:t>
      </w:r>
      <w:r>
        <w:rPr>
          <w:rFonts w:hint="eastAsia" w:ascii="仿宋_GB2312" w:hAnsi="仿宋" w:eastAsia="仿宋_GB2312"/>
          <w:color w:val="auto"/>
          <w:sz w:val="32"/>
          <w:szCs w:val="32"/>
          <w:lang w:val="en-US" w:eastAsia="zh-CN"/>
        </w:rPr>
        <w:t>作出</w:t>
      </w:r>
      <w:r>
        <w:rPr>
          <w:rFonts w:hint="eastAsia" w:ascii="仿宋_GB2312" w:hAnsi="仿宋" w:eastAsia="仿宋_GB2312"/>
          <w:color w:val="auto"/>
          <w:sz w:val="32"/>
          <w:szCs w:val="32"/>
        </w:rPr>
        <w:t>设立或撤销分委员会的决定。</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7.</w:t>
      </w:r>
      <w:r>
        <w:rPr>
          <w:rFonts w:hint="eastAsia" w:ascii="仿宋_GB2312" w:hAnsi="仿宋" w:eastAsia="仿宋_GB2312"/>
          <w:color w:val="auto"/>
          <w:sz w:val="32"/>
          <w:szCs w:val="32"/>
          <w:lang w:val="en-US" w:eastAsia="zh-CN"/>
        </w:rPr>
        <w:t>作出</w:t>
      </w:r>
      <w:r>
        <w:rPr>
          <w:rFonts w:hint="eastAsia" w:ascii="仿宋_GB2312" w:hAnsi="仿宋" w:eastAsia="仿宋_GB2312"/>
          <w:color w:val="auto"/>
          <w:sz w:val="32"/>
          <w:szCs w:val="32"/>
        </w:rPr>
        <w:t>撤销违规授予学位的决定，研究和处理授予学位工作中的争议问题和其他有关学位授予的问题。</w:t>
      </w:r>
    </w:p>
    <w:p>
      <w:pPr>
        <w:snapToGrid w:val="0"/>
        <w:spacing w:line="540" w:lineRule="exact"/>
        <w:ind w:firstLine="640" w:firstLineChars="200"/>
        <w:rPr>
          <w:rFonts w:ascii="仿宋_GB2312" w:hAnsi="仿宋" w:eastAsia="仿宋_GB2312"/>
          <w:color w:val="auto"/>
          <w:sz w:val="32"/>
          <w:szCs w:val="32"/>
        </w:rPr>
      </w:pPr>
      <w:r>
        <w:rPr>
          <w:rFonts w:hint="eastAsia" w:ascii="黑体" w:hAnsi="仿宋" w:eastAsia="黑体" w:cs="宋体"/>
          <w:color w:val="auto"/>
          <w:kern w:val="0"/>
          <w:sz w:val="32"/>
          <w:szCs w:val="32"/>
        </w:rPr>
        <w:t>第十条</w:t>
      </w:r>
      <w:r>
        <w:rPr>
          <w:rFonts w:hint="eastAsia" w:ascii="仿宋_GB2312" w:hAnsi="仿宋" w:eastAsia="仿宋_GB2312"/>
          <w:color w:val="auto"/>
          <w:sz w:val="32"/>
          <w:szCs w:val="32"/>
        </w:rPr>
        <w:t xml:space="preserve"> </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学位评定分委员会职责</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1.制订、修订研究生培养方案。</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2.审查研究生个人培养计划。</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3.推荐答辩委员会委员。</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4.审查学位申请人的相关情况，提出建议授予学位的人员名单。</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5.审核硕士研究生指导教师资格。</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6.组织本单位申报学位授权点材料和学位授权点学位授予质量的评估工作。</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7.确定硕士研究生入学考试科目、门数。</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8.受校学位评定委员会委托处理与学位有关的其它工作。</w:t>
      </w:r>
    </w:p>
    <w:p>
      <w:pPr>
        <w:snapToGrid w:val="0"/>
        <w:spacing w:line="540" w:lineRule="exact"/>
        <w:ind w:firstLine="640" w:firstLineChars="200"/>
        <w:rPr>
          <w:rFonts w:ascii="仿宋_GB2312" w:hAnsi="仿宋" w:eastAsia="仿宋_GB2312"/>
          <w:color w:val="auto"/>
          <w:sz w:val="32"/>
          <w:szCs w:val="32"/>
        </w:rPr>
      </w:pPr>
      <w:r>
        <w:rPr>
          <w:rFonts w:hint="eastAsia" w:ascii="黑体" w:hAnsi="仿宋" w:eastAsia="黑体" w:cs="宋体"/>
          <w:color w:val="auto"/>
          <w:kern w:val="0"/>
          <w:sz w:val="32"/>
          <w:szCs w:val="32"/>
        </w:rPr>
        <w:t>第十一条</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校学位办职责</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1.接受学位申请，负责办理学位申请手续。</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2.组织研究生学位论文复制比检测工作。</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3.审批论文答辩委员会成员名单。</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4.对学位申请人资格进行复审，监督、指导学位论文答辩工作。</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5.筹备召开校学位评定委员会会议，向校学位评定委员会提出相关议题。</w:t>
      </w:r>
    </w:p>
    <w:p>
      <w:pPr>
        <w:snapToGrid w:val="0"/>
        <w:spacing w:line="54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6.</w:t>
      </w:r>
      <w:r>
        <w:rPr>
          <w:rFonts w:hint="eastAsia" w:ascii="仿宋_GB2312" w:hAnsi="仿宋" w:eastAsia="仿宋_GB2312"/>
          <w:color w:val="auto"/>
          <w:sz w:val="32"/>
          <w:szCs w:val="32"/>
          <w:lang w:val="en-US" w:eastAsia="zh-CN"/>
        </w:rPr>
        <w:t>组织</w:t>
      </w:r>
      <w:r>
        <w:rPr>
          <w:rFonts w:hint="eastAsia" w:ascii="仿宋_GB2312" w:hAnsi="仿宋" w:eastAsia="仿宋_GB2312"/>
          <w:color w:val="auto"/>
          <w:sz w:val="32"/>
          <w:szCs w:val="32"/>
        </w:rPr>
        <w:t>制作、发放硕士学位证书及证明，协调发放学士学位证书及证明。</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7.组织学位信息注册工作。</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8.硕士学位论文的收集和上报工作。</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9.组织申报学位授权材料审核工作。</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10.组织上级主管部门对学位授权点的评估工作。</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11.组织研究生导师的聘任及日常管理等工作。</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12.组织与科学道德、学风建设相关的教育活动。</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13.组织与学位相关文件的起草和修订。</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14.</w:t>
      </w:r>
      <w:r>
        <w:rPr>
          <w:rFonts w:hint="eastAsia" w:ascii="仿宋_GB2312" w:hAnsi="仿宋" w:eastAsia="仿宋_GB2312"/>
          <w:color w:val="auto"/>
          <w:sz w:val="32"/>
          <w:szCs w:val="32"/>
        </w:rPr>
        <w:t>处理与学位有关的日常事务及学位评定委员会授权的其他工作。</w:t>
      </w:r>
    </w:p>
    <w:p>
      <w:pPr>
        <w:snapToGrid w:val="0"/>
        <w:spacing w:line="540" w:lineRule="exact"/>
        <w:ind w:firstLine="640" w:firstLineChars="200"/>
        <w:rPr>
          <w:rFonts w:ascii="仿宋_GB2312" w:hAnsi="仿宋" w:eastAsia="仿宋_GB2312"/>
          <w:color w:val="auto"/>
          <w:sz w:val="32"/>
          <w:szCs w:val="32"/>
        </w:rPr>
      </w:pPr>
      <w:r>
        <w:rPr>
          <w:rFonts w:hint="eastAsia" w:ascii="黑体" w:hAnsi="仿宋" w:eastAsia="黑体" w:cs="宋体"/>
          <w:color w:val="auto"/>
          <w:kern w:val="0"/>
          <w:sz w:val="32"/>
          <w:szCs w:val="32"/>
        </w:rPr>
        <w:t>第十二条</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学位评定委员会审议和决定相关事项时，应实行民主集中制原则。学位评定委员会及学位评定分委员会在进行表决时，须采取无记名投票方式，到会委员应达到全体委员三分之二或以上，经到会委员过半数同意，方为有效。对有争议的问题，学位评定委员会在作出裁决前应充分听取学位评定分委员会和有关人员的意见。在作出裁决时，应投票表决并作出书面决议，学位评定分委员会应服从和维护学位评定委员会的裁决。</w:t>
      </w:r>
    </w:p>
    <w:p>
      <w:pPr>
        <w:pStyle w:val="3"/>
        <w:snapToGrid w:val="0"/>
        <w:spacing w:line="540" w:lineRule="exact"/>
        <w:jc w:val="center"/>
        <w:rPr>
          <w:rFonts w:ascii="黑体" w:hAnsi="仿宋" w:eastAsia="黑体"/>
          <w:bCs/>
          <w:color w:val="auto"/>
          <w:sz w:val="32"/>
          <w:szCs w:val="32"/>
        </w:rPr>
      </w:pPr>
    </w:p>
    <w:p>
      <w:pPr>
        <w:pStyle w:val="3"/>
        <w:snapToGrid w:val="0"/>
        <w:spacing w:line="540" w:lineRule="exact"/>
        <w:jc w:val="center"/>
        <w:rPr>
          <w:rFonts w:ascii="黑体" w:hAnsi="仿宋" w:eastAsia="黑体"/>
          <w:bCs/>
          <w:color w:val="auto"/>
          <w:sz w:val="32"/>
          <w:szCs w:val="32"/>
        </w:rPr>
      </w:pPr>
      <w:r>
        <w:rPr>
          <w:rFonts w:hint="eastAsia" w:ascii="黑体" w:hAnsi="仿宋" w:eastAsia="黑体"/>
          <w:bCs/>
          <w:color w:val="auto"/>
          <w:sz w:val="32"/>
          <w:szCs w:val="32"/>
        </w:rPr>
        <w:t>第三章  学士学位</w:t>
      </w:r>
    </w:p>
    <w:p>
      <w:pPr>
        <w:snapToGrid w:val="0"/>
        <w:spacing w:line="540" w:lineRule="exact"/>
        <w:ind w:firstLine="640" w:firstLineChars="200"/>
        <w:rPr>
          <w:rFonts w:ascii="仿宋_GB2312" w:hAnsi="宋体" w:eastAsia="仿宋_GB2312"/>
          <w:color w:val="auto"/>
          <w:sz w:val="32"/>
        </w:rPr>
      </w:pPr>
      <w:r>
        <w:rPr>
          <w:rFonts w:hint="eastAsia" w:ascii="黑体" w:hAnsi="黑体" w:eastAsia="黑体"/>
          <w:color w:val="auto"/>
          <w:sz w:val="32"/>
          <w:szCs w:val="32"/>
        </w:rPr>
        <w:t>第十三条</w:t>
      </w:r>
      <w:r>
        <w:rPr>
          <w:rFonts w:hint="eastAsia" w:ascii="仿宋_GB2312" w:hAnsi="宋体" w:eastAsia="仿宋_GB2312"/>
          <w:color w:val="auto"/>
          <w:sz w:val="32"/>
        </w:rPr>
        <w:t xml:space="preserve">  </w:t>
      </w:r>
      <w:r>
        <w:rPr>
          <w:rFonts w:hint="eastAsia" w:ascii="仿宋_GB2312" w:eastAsia="仿宋_GB2312"/>
          <w:color w:val="auto"/>
          <w:sz w:val="32"/>
          <w:shd w:val="clear" w:color="auto" w:fill="FFFFFF"/>
        </w:rPr>
        <w:t>符合本细则第三条要求的普通高等教育全日制本科生，同时符合以下条件的，可以申请授予学士学位：</w:t>
      </w:r>
    </w:p>
    <w:p>
      <w:pPr>
        <w:snapToGrid w:val="0"/>
        <w:spacing w:line="540" w:lineRule="exact"/>
        <w:rPr>
          <w:rFonts w:ascii="仿宋_GB2312" w:hAnsi="宋体" w:eastAsia="仿宋_GB2312"/>
          <w:color w:val="auto"/>
          <w:sz w:val="32"/>
        </w:rPr>
      </w:pPr>
      <w:r>
        <w:rPr>
          <w:rFonts w:hint="eastAsia" w:ascii="仿宋_GB2312" w:hAnsi="宋体" w:eastAsia="仿宋_GB2312"/>
          <w:color w:val="auto"/>
          <w:sz w:val="32"/>
        </w:rPr>
        <w:t xml:space="preserve">    1.</w:t>
      </w:r>
      <w:r>
        <w:rPr>
          <w:rFonts w:ascii="仿宋_GB2312" w:hAnsi="宋体" w:eastAsia="仿宋_GB2312"/>
          <w:color w:val="auto"/>
          <w:sz w:val="32"/>
        </w:rPr>
        <w:t>在学籍管理规定的修业年限内，达到本科培养方案</w:t>
      </w:r>
      <w:r>
        <w:rPr>
          <w:rFonts w:hint="eastAsia" w:ascii="仿宋_GB2312" w:hAnsi="宋体" w:eastAsia="仿宋_GB2312"/>
          <w:color w:val="auto"/>
          <w:sz w:val="32"/>
        </w:rPr>
        <w:t>中规定</w:t>
      </w:r>
      <w:r>
        <w:rPr>
          <w:rFonts w:ascii="仿宋_GB2312" w:hAnsi="宋体" w:eastAsia="仿宋_GB2312"/>
          <w:color w:val="auto"/>
          <w:sz w:val="32"/>
        </w:rPr>
        <w:t>的各项要求，</w:t>
      </w:r>
      <w:r>
        <w:rPr>
          <w:rFonts w:hint="eastAsia" w:ascii="仿宋_GB2312" w:hAnsi="宋体" w:eastAsia="仿宋_GB2312"/>
          <w:color w:val="auto"/>
          <w:sz w:val="32"/>
        </w:rPr>
        <w:t>毕业鉴定等材料齐全，</w:t>
      </w:r>
      <w:r>
        <w:rPr>
          <w:rFonts w:ascii="仿宋_GB2312" w:hAnsi="宋体" w:eastAsia="仿宋_GB2312"/>
          <w:color w:val="auto"/>
          <w:sz w:val="32"/>
        </w:rPr>
        <w:t>经审核准予毕业</w:t>
      </w:r>
      <w:r>
        <w:rPr>
          <w:rFonts w:hint="eastAsia" w:ascii="仿宋_GB2312" w:hAnsi="宋体" w:eastAsia="仿宋_GB2312"/>
          <w:color w:val="auto"/>
          <w:sz w:val="32"/>
        </w:rPr>
        <w:t>的。</w:t>
      </w:r>
    </w:p>
    <w:p>
      <w:pPr>
        <w:snapToGrid w:val="0"/>
        <w:spacing w:line="540" w:lineRule="exact"/>
        <w:rPr>
          <w:rFonts w:ascii="仿宋_GB2312" w:hAnsi="宋体" w:eastAsia="仿宋_GB2312"/>
          <w:color w:val="auto"/>
          <w:sz w:val="32"/>
        </w:rPr>
      </w:pPr>
      <w:r>
        <w:rPr>
          <w:rFonts w:hint="eastAsia" w:ascii="仿宋_GB2312" w:hAnsi="宋体" w:eastAsia="仿宋_GB2312"/>
          <w:color w:val="auto"/>
          <w:sz w:val="32"/>
        </w:rPr>
        <w:t xml:space="preserve">    2.课程学习和毕业论文（毕业设计或其他毕业实践环节）的成绩，表明已</w:t>
      </w:r>
      <w:r>
        <w:rPr>
          <w:rFonts w:ascii="仿宋_GB2312" w:hAnsi="宋体" w:eastAsia="仿宋_GB2312"/>
          <w:color w:val="auto"/>
          <w:sz w:val="32"/>
        </w:rPr>
        <w:t>较好地掌握本门学科的基础理论、专门知识和基本技能</w:t>
      </w:r>
      <w:r>
        <w:rPr>
          <w:rFonts w:hint="eastAsia" w:ascii="仿宋_GB2312" w:hAnsi="宋体" w:eastAsia="仿宋_GB2312"/>
          <w:color w:val="auto"/>
          <w:sz w:val="32"/>
        </w:rPr>
        <w:t>，</w:t>
      </w:r>
      <w:r>
        <w:rPr>
          <w:rFonts w:ascii="仿宋_GB2312" w:hAnsi="宋体" w:eastAsia="仿宋_GB2312"/>
          <w:color w:val="auto"/>
          <w:sz w:val="32"/>
        </w:rPr>
        <w:t>具有从事科学研究工作或担负专门技术工作初步能力</w:t>
      </w:r>
      <w:r>
        <w:rPr>
          <w:rFonts w:hint="eastAsia" w:ascii="仿宋_GB2312" w:hAnsi="宋体" w:eastAsia="仿宋_GB2312"/>
          <w:color w:val="auto"/>
          <w:sz w:val="32"/>
        </w:rPr>
        <w:t>的。</w:t>
      </w:r>
    </w:p>
    <w:p>
      <w:pPr>
        <w:snapToGrid w:val="0"/>
        <w:spacing w:line="540" w:lineRule="exact"/>
        <w:rPr>
          <w:rFonts w:ascii="仿宋_GB2312" w:hAnsi="宋体" w:eastAsia="仿宋_GB2312"/>
          <w:color w:val="auto"/>
          <w:sz w:val="32"/>
        </w:rPr>
      </w:pPr>
      <w:r>
        <w:rPr>
          <w:rFonts w:hint="eastAsia" w:ascii="仿宋_GB2312" w:hAnsi="宋体" w:eastAsia="仿宋_GB2312"/>
          <w:color w:val="auto"/>
          <w:sz w:val="32"/>
        </w:rPr>
        <w:t xml:space="preserve">    3.学习成绩优良，总平均学分绩点不低于2.0（保留一位小数）的。</w:t>
      </w:r>
    </w:p>
    <w:p>
      <w:pPr>
        <w:snapToGrid w:val="0"/>
        <w:spacing w:line="540" w:lineRule="exact"/>
        <w:rPr>
          <w:rFonts w:ascii="仿宋_GB2312" w:hAnsi="宋体" w:eastAsia="仿宋_GB2312"/>
          <w:color w:val="auto"/>
          <w:sz w:val="32"/>
        </w:rPr>
      </w:pPr>
      <w:r>
        <w:rPr>
          <w:rFonts w:hint="eastAsia" w:ascii="仿宋_GB2312" w:hAnsi="宋体" w:eastAsia="仿宋_GB2312"/>
          <w:color w:val="auto"/>
          <w:sz w:val="32"/>
        </w:rPr>
        <w:t xml:space="preserve">    4.普通话、计算机应用能力达到本专业培养方案目标要求的。</w:t>
      </w:r>
    </w:p>
    <w:p>
      <w:pPr>
        <w:snapToGrid w:val="0"/>
        <w:spacing w:line="540" w:lineRule="exact"/>
        <w:ind w:firstLine="640" w:firstLineChars="200"/>
        <w:rPr>
          <w:rFonts w:ascii="仿宋_GB2312" w:hAnsi="宋体" w:eastAsia="仿宋_GB2312"/>
          <w:color w:val="auto"/>
          <w:sz w:val="32"/>
        </w:rPr>
      </w:pPr>
      <w:r>
        <w:rPr>
          <w:rFonts w:hint="eastAsia" w:ascii="黑体" w:hAnsi="黑体" w:eastAsia="黑体"/>
          <w:color w:val="auto"/>
          <w:sz w:val="32"/>
          <w:szCs w:val="32"/>
        </w:rPr>
        <w:t>第十四条</w:t>
      </w:r>
      <w:r>
        <w:rPr>
          <w:rFonts w:hint="eastAsia" w:ascii="仿宋_GB2312" w:hAnsi="宋体" w:eastAsia="仿宋_GB2312"/>
          <w:color w:val="auto"/>
          <w:sz w:val="32"/>
        </w:rPr>
        <w:t xml:space="preserve">  对未达到第十三条第3、4款条件的</w:t>
      </w:r>
      <w:r>
        <w:rPr>
          <w:rFonts w:hint="eastAsia" w:ascii="仿宋_GB2312" w:eastAsia="仿宋_GB2312"/>
          <w:color w:val="auto"/>
          <w:sz w:val="32"/>
          <w:shd w:val="clear" w:color="auto" w:fill="FFFFFF"/>
        </w:rPr>
        <w:t>普通高等教育全日制本科生</w:t>
      </w:r>
      <w:r>
        <w:rPr>
          <w:rFonts w:hint="eastAsia" w:ascii="仿宋_GB2312" w:hAnsi="宋体" w:eastAsia="仿宋_GB2312"/>
          <w:color w:val="auto"/>
          <w:sz w:val="32"/>
        </w:rPr>
        <w:t>，但符合下列条件之一者，可破格</w:t>
      </w:r>
      <w:r>
        <w:rPr>
          <w:rFonts w:ascii="仿宋_GB2312" w:hAnsi="宋体" w:eastAsia="仿宋_GB2312"/>
          <w:color w:val="auto"/>
          <w:sz w:val="32"/>
        </w:rPr>
        <w:t>申请</w:t>
      </w:r>
      <w:r>
        <w:rPr>
          <w:rFonts w:hint="eastAsia" w:ascii="仿宋_GB2312" w:hAnsi="宋体" w:eastAsia="仿宋_GB2312"/>
          <w:color w:val="auto"/>
          <w:sz w:val="32"/>
        </w:rPr>
        <w:t>授予</w:t>
      </w:r>
      <w:r>
        <w:rPr>
          <w:rFonts w:ascii="仿宋_GB2312" w:hAnsi="宋体" w:eastAsia="仿宋_GB2312"/>
          <w:color w:val="auto"/>
          <w:sz w:val="32"/>
        </w:rPr>
        <w:t>学士学位</w:t>
      </w:r>
      <w:r>
        <w:rPr>
          <w:rFonts w:hint="eastAsia" w:ascii="仿宋_GB2312" w:hAnsi="宋体" w:eastAsia="仿宋_GB2312"/>
          <w:color w:val="auto"/>
          <w:sz w:val="32"/>
        </w:rPr>
        <w:t>：</w:t>
      </w:r>
    </w:p>
    <w:p>
      <w:pPr>
        <w:snapToGrid w:val="0"/>
        <w:spacing w:line="540" w:lineRule="exact"/>
        <w:ind w:firstLine="640" w:firstLineChars="200"/>
        <w:rPr>
          <w:rFonts w:ascii="仿宋_GB2312" w:hAnsi="宋体" w:eastAsia="仿宋_GB2312"/>
          <w:color w:val="auto"/>
          <w:sz w:val="32"/>
        </w:rPr>
      </w:pPr>
      <w:r>
        <w:rPr>
          <w:rFonts w:hint="eastAsia" w:ascii="仿宋_GB2312" w:hAnsi="宋体" w:eastAsia="仿宋_GB2312"/>
          <w:color w:val="auto"/>
          <w:sz w:val="32"/>
        </w:rPr>
        <w:t>1.</w:t>
      </w:r>
      <w:r>
        <w:rPr>
          <w:rFonts w:ascii="仿宋_GB2312" w:hAnsi="宋体" w:eastAsia="仿宋_GB2312"/>
          <w:color w:val="auto"/>
          <w:sz w:val="32"/>
        </w:rPr>
        <w:t>毕业当年考取全国统招硕士研究生</w:t>
      </w:r>
      <w:r>
        <w:rPr>
          <w:rFonts w:hint="eastAsia" w:ascii="仿宋_GB2312" w:hAnsi="宋体" w:eastAsia="仿宋_GB2312"/>
          <w:color w:val="auto"/>
          <w:sz w:val="32"/>
        </w:rPr>
        <w:t>者。</w:t>
      </w:r>
    </w:p>
    <w:p>
      <w:pPr>
        <w:snapToGrid w:val="0"/>
        <w:spacing w:line="540" w:lineRule="exact"/>
        <w:ind w:firstLine="640" w:firstLineChars="200"/>
        <w:rPr>
          <w:rFonts w:ascii="仿宋_GB2312" w:hAnsi="宋体" w:eastAsia="仿宋_GB2312"/>
          <w:color w:val="auto"/>
          <w:sz w:val="32"/>
        </w:rPr>
      </w:pPr>
      <w:r>
        <w:rPr>
          <w:rFonts w:hint="eastAsia" w:ascii="仿宋_GB2312" w:hAnsi="宋体" w:eastAsia="仿宋_GB2312"/>
          <w:color w:val="auto"/>
          <w:sz w:val="32"/>
        </w:rPr>
        <w:t>2.经学校审批、教务处或学生管理处室（含团委）登记，在国家及省级大学生各类学科（业务）竞赛（如</w:t>
      </w:r>
      <w:r>
        <w:rPr>
          <w:rFonts w:ascii="仿宋_GB2312" w:hAnsi="宋体" w:eastAsia="仿宋_GB2312"/>
          <w:color w:val="auto"/>
          <w:sz w:val="32"/>
        </w:rPr>
        <w:t>“挑战杯”课外学术科技作品竞赛</w:t>
      </w:r>
      <w:r>
        <w:rPr>
          <w:rFonts w:hint="eastAsia" w:ascii="仿宋_GB2312" w:hAnsi="宋体" w:eastAsia="仿宋_GB2312"/>
          <w:color w:val="auto"/>
          <w:sz w:val="32"/>
        </w:rPr>
        <w:t>、创新创业竞赛、</w:t>
      </w:r>
      <w:r>
        <w:rPr>
          <w:rFonts w:ascii="仿宋_GB2312" w:hAnsi="宋体" w:eastAsia="仿宋_GB2312"/>
          <w:color w:val="auto"/>
          <w:sz w:val="32"/>
        </w:rPr>
        <w:t>数学建模竞赛</w:t>
      </w:r>
      <w:r>
        <w:rPr>
          <w:rFonts w:hint="eastAsia" w:ascii="仿宋_GB2312" w:hAnsi="宋体" w:eastAsia="仿宋_GB2312"/>
          <w:color w:val="auto"/>
          <w:sz w:val="32"/>
        </w:rPr>
        <w:t>、</w:t>
      </w:r>
      <w:r>
        <w:rPr>
          <w:rFonts w:ascii="仿宋_GB2312" w:hAnsi="宋体" w:eastAsia="仿宋_GB2312"/>
          <w:color w:val="auto"/>
          <w:sz w:val="32"/>
        </w:rPr>
        <w:t>电子设计竞赛等</w:t>
      </w:r>
      <w:r>
        <w:rPr>
          <w:rFonts w:hint="eastAsia" w:ascii="仿宋_GB2312" w:hAnsi="宋体" w:eastAsia="仿宋_GB2312"/>
          <w:color w:val="auto"/>
          <w:sz w:val="32"/>
        </w:rPr>
        <w:t>）中获得国家级三等奖以上（含三等奖）或获得省级一等奖（前三名）者。</w:t>
      </w:r>
    </w:p>
    <w:p>
      <w:pPr>
        <w:snapToGrid w:val="0"/>
        <w:spacing w:line="540" w:lineRule="exact"/>
        <w:ind w:firstLine="640" w:firstLineChars="200"/>
        <w:rPr>
          <w:rFonts w:ascii="仿宋_GB2312" w:hAnsi="宋体" w:eastAsia="仿宋_GB2312"/>
          <w:color w:val="auto"/>
          <w:sz w:val="32"/>
        </w:rPr>
      </w:pPr>
      <w:r>
        <w:rPr>
          <w:rFonts w:hint="eastAsia" w:ascii="仿宋_GB2312" w:hAnsi="宋体" w:eastAsia="仿宋_GB2312"/>
          <w:color w:val="auto"/>
          <w:sz w:val="32"/>
        </w:rPr>
        <w:t>3.在</w:t>
      </w:r>
      <w:r>
        <w:rPr>
          <w:rFonts w:hint="eastAsia" w:ascii="仿宋_GB2312" w:hAnsi="宋体" w:eastAsia="仿宋_GB2312"/>
          <w:color w:val="auto"/>
          <w:spacing w:val="-4"/>
          <w:sz w:val="32"/>
          <w:szCs w:val="32"/>
        </w:rPr>
        <w:t>国内核心学术期刊</w:t>
      </w:r>
      <w:r>
        <w:rPr>
          <w:rFonts w:ascii="仿宋_GB2312" w:hAnsi="宋体" w:eastAsia="仿宋_GB2312"/>
          <w:color w:val="auto"/>
          <w:sz w:val="32"/>
        </w:rPr>
        <w:t>上发表</w:t>
      </w:r>
      <w:r>
        <w:rPr>
          <w:rFonts w:hint="eastAsia" w:ascii="仿宋_GB2312" w:hAnsi="宋体" w:eastAsia="仿宋_GB2312"/>
          <w:color w:val="auto"/>
          <w:sz w:val="32"/>
        </w:rPr>
        <w:t>以河北科技师范学院为第一单位，与本专业相关</w:t>
      </w:r>
      <w:r>
        <w:rPr>
          <w:rFonts w:ascii="仿宋_GB2312" w:hAnsi="宋体" w:eastAsia="仿宋_GB2312"/>
          <w:color w:val="auto"/>
          <w:sz w:val="32"/>
        </w:rPr>
        <w:t>学术论文的</w:t>
      </w:r>
      <w:r>
        <w:rPr>
          <w:rFonts w:hint="eastAsia" w:ascii="仿宋_GB2312" w:hAnsi="宋体" w:eastAsia="仿宋_GB2312"/>
          <w:color w:val="auto"/>
          <w:sz w:val="32"/>
        </w:rPr>
        <w:t>第一作者。（国内核心学术期刊范围包括：北京大学图书馆编制的《中文核心期刊要目总揽》和南京大学编制的《中文社会科学引文索引》及SCI、EI、SSCI索引期刊（以论文发表时间相对应的版本为准）；《新华文摘》全文转载论文、在《人民日报》、《光明日报》、《科技日报》、《经济日报》理论版上发表的本专业理论文章（2000字以上）视同为核心期刊论文）</w:t>
      </w:r>
    </w:p>
    <w:p>
      <w:pPr>
        <w:snapToGrid w:val="0"/>
        <w:spacing w:line="540" w:lineRule="exact"/>
        <w:ind w:firstLine="660"/>
        <w:rPr>
          <w:rFonts w:ascii="仿宋_GB2312" w:hAnsi="宋体" w:eastAsia="仿宋_GB2312"/>
          <w:color w:val="auto"/>
          <w:sz w:val="32"/>
        </w:rPr>
      </w:pPr>
      <w:r>
        <w:rPr>
          <w:rFonts w:hint="eastAsia" w:ascii="仿宋_GB2312" w:hAnsi="宋体" w:eastAsia="仿宋_GB2312"/>
          <w:color w:val="auto"/>
          <w:sz w:val="32"/>
        </w:rPr>
        <w:t>4.国家</w:t>
      </w:r>
      <w:r>
        <w:rPr>
          <w:rFonts w:ascii="仿宋_GB2312" w:hAnsi="宋体" w:eastAsia="仿宋_GB2312"/>
          <w:color w:val="auto"/>
          <w:sz w:val="32"/>
        </w:rPr>
        <w:t>授权</w:t>
      </w:r>
      <w:r>
        <w:rPr>
          <w:rFonts w:hint="eastAsia" w:ascii="仿宋_GB2312" w:hAnsi="宋体" w:eastAsia="仿宋_GB2312"/>
          <w:color w:val="auto"/>
          <w:sz w:val="32"/>
        </w:rPr>
        <w:t>发明</w:t>
      </w:r>
      <w:r>
        <w:rPr>
          <w:rFonts w:ascii="仿宋_GB2312" w:hAnsi="宋体" w:eastAsia="仿宋_GB2312"/>
          <w:color w:val="auto"/>
          <w:sz w:val="32"/>
        </w:rPr>
        <w:t>专利</w:t>
      </w:r>
      <w:r>
        <w:rPr>
          <w:rFonts w:hint="eastAsia" w:ascii="仿宋_GB2312" w:hAnsi="宋体" w:eastAsia="仿宋_GB2312"/>
          <w:color w:val="auto"/>
          <w:sz w:val="32"/>
        </w:rPr>
        <w:t>、实用新型专利和外观设计专利的第一发明人。</w:t>
      </w:r>
    </w:p>
    <w:p>
      <w:pPr>
        <w:snapToGrid w:val="0"/>
        <w:spacing w:line="540" w:lineRule="exact"/>
        <w:ind w:firstLine="640"/>
        <w:rPr>
          <w:rFonts w:hint="eastAsia" w:ascii="仿宋_GB2312" w:hAnsi="宋体" w:eastAsia="仿宋_GB2312"/>
          <w:color w:val="auto"/>
          <w:sz w:val="32"/>
        </w:rPr>
      </w:pPr>
      <w:r>
        <w:rPr>
          <w:rFonts w:hint="eastAsia" w:ascii="仿宋_GB2312" w:hAnsi="宋体" w:eastAsia="仿宋_GB2312"/>
          <w:color w:val="auto"/>
          <w:sz w:val="32"/>
        </w:rPr>
        <w:t>5.经学位评定委员会研究通过的其他特殊情况。</w:t>
      </w:r>
    </w:p>
    <w:p>
      <w:pPr>
        <w:snapToGrid w:val="0"/>
        <w:spacing w:line="540" w:lineRule="exact"/>
        <w:ind w:firstLine="640" w:firstLineChars="200"/>
        <w:rPr>
          <w:rFonts w:ascii="仿宋_GB2312" w:hAnsi="宋体" w:eastAsia="仿宋_GB2312"/>
          <w:color w:val="auto"/>
          <w:sz w:val="32"/>
        </w:rPr>
      </w:pPr>
      <w:r>
        <w:rPr>
          <w:rFonts w:hint="eastAsia" w:ascii="黑体" w:hAnsi="黑体" w:eastAsia="黑体"/>
          <w:color w:val="auto"/>
          <w:sz w:val="32"/>
          <w:szCs w:val="32"/>
        </w:rPr>
        <w:t>第十五条</w:t>
      </w:r>
      <w:r>
        <w:rPr>
          <w:rFonts w:hint="eastAsia" w:ascii="仿宋_GB2312" w:hAnsi="宋体" w:eastAsia="仿宋_GB2312"/>
          <w:color w:val="auto"/>
          <w:sz w:val="32"/>
        </w:rPr>
        <w:t xml:space="preserve">  符合下列几种情形的</w:t>
      </w:r>
      <w:r>
        <w:rPr>
          <w:rFonts w:hint="eastAsia" w:ascii="仿宋_GB2312" w:eastAsia="仿宋_GB2312"/>
          <w:color w:val="auto"/>
          <w:sz w:val="32"/>
          <w:shd w:val="clear" w:color="auto" w:fill="FFFFFF"/>
        </w:rPr>
        <w:t>普通高等教育全日制本科生，</w:t>
      </w:r>
      <w:r>
        <w:rPr>
          <w:rFonts w:hint="eastAsia" w:ascii="仿宋_GB2312" w:hAnsi="宋体" w:eastAsia="仿宋_GB2312"/>
          <w:color w:val="auto"/>
          <w:sz w:val="32"/>
        </w:rPr>
        <w:t>可申请补授学士学位：</w:t>
      </w:r>
    </w:p>
    <w:p>
      <w:pPr>
        <w:snapToGrid w:val="0"/>
        <w:spacing w:line="540" w:lineRule="exact"/>
        <w:ind w:firstLine="640" w:firstLineChars="200"/>
        <w:rPr>
          <w:rFonts w:ascii="仿宋_GB2312" w:hAnsi="宋体" w:eastAsia="仿宋_GB2312"/>
          <w:color w:val="auto"/>
          <w:sz w:val="32"/>
        </w:rPr>
      </w:pPr>
      <w:r>
        <w:rPr>
          <w:rFonts w:hint="eastAsia" w:ascii="仿宋_GB2312" w:hAnsi="宋体" w:eastAsia="仿宋_GB2312"/>
          <w:color w:val="auto"/>
          <w:sz w:val="32"/>
        </w:rPr>
        <w:t>1.对未达到第十三条第3款条件的学生，可在毕业后两年内回学校重修相关课程，学分绩点达到要求的。</w:t>
      </w:r>
    </w:p>
    <w:p>
      <w:pPr>
        <w:snapToGrid w:val="0"/>
        <w:spacing w:line="540" w:lineRule="exact"/>
        <w:ind w:firstLine="640" w:firstLineChars="200"/>
        <w:rPr>
          <w:rFonts w:hint="eastAsia" w:ascii="仿宋_GB2312" w:hAnsi="宋体" w:eastAsia="仿宋_GB2312"/>
          <w:color w:val="auto"/>
          <w:sz w:val="32"/>
        </w:rPr>
      </w:pPr>
      <w:r>
        <w:rPr>
          <w:rFonts w:hint="eastAsia" w:ascii="仿宋_GB2312" w:hAnsi="宋体" w:eastAsia="仿宋_GB2312"/>
          <w:color w:val="auto"/>
          <w:sz w:val="32"/>
        </w:rPr>
        <w:t>2.对未达到第十三条第4款条件的学生，可在毕业后两年内回学校报考并达到要求的。</w:t>
      </w:r>
    </w:p>
    <w:p>
      <w:pPr>
        <w:snapToGrid w:val="0"/>
        <w:spacing w:line="540" w:lineRule="exact"/>
        <w:ind w:firstLine="640"/>
        <w:rPr>
          <w:rFonts w:hint="eastAsia" w:ascii="仿宋_GB2312" w:hAnsi="宋体" w:eastAsia="仿宋_GB2312"/>
          <w:color w:val="auto"/>
          <w:sz w:val="32"/>
          <w:lang w:val="en-US" w:eastAsia="zh-CN"/>
        </w:rPr>
      </w:pPr>
      <w:r>
        <w:rPr>
          <w:rFonts w:hint="eastAsia" w:ascii="黑体" w:hAnsi="黑体" w:eastAsia="黑体"/>
          <w:color w:val="auto"/>
          <w:sz w:val="32"/>
          <w:szCs w:val="32"/>
        </w:rPr>
        <w:t>第十六条</w:t>
      </w:r>
      <w:r>
        <w:rPr>
          <w:rFonts w:hint="eastAsia" w:ascii="黑体" w:hAnsi="黑体" w:eastAsia="黑体"/>
          <w:color w:val="auto"/>
          <w:sz w:val="32"/>
          <w:szCs w:val="32"/>
          <w:lang w:val="en-US" w:eastAsia="zh-CN"/>
        </w:rPr>
        <w:t xml:space="preserve">  </w:t>
      </w:r>
      <w:r>
        <w:rPr>
          <w:rFonts w:hint="eastAsia" w:ascii="仿宋_GB2312" w:hAnsi="宋体" w:eastAsia="仿宋_GB2312"/>
          <w:color w:val="auto"/>
          <w:sz w:val="32"/>
          <w:lang w:val="en-US" w:eastAsia="zh-CN"/>
        </w:rPr>
        <w:t>修读双学位的</w:t>
      </w:r>
      <w:r>
        <w:rPr>
          <w:rFonts w:hint="eastAsia" w:ascii="仿宋_GB2312" w:eastAsia="仿宋_GB2312"/>
          <w:color w:val="auto"/>
          <w:sz w:val="32"/>
          <w:shd w:val="clear" w:color="auto" w:fill="FFFFFF"/>
        </w:rPr>
        <w:t>普通高等教育全日制本科生</w:t>
      </w:r>
      <w:r>
        <w:rPr>
          <w:rFonts w:hint="eastAsia" w:ascii="仿宋_GB2312" w:hAnsi="宋体" w:eastAsia="仿宋_GB2312"/>
          <w:color w:val="auto"/>
          <w:sz w:val="32"/>
          <w:lang w:val="en-US" w:eastAsia="zh-CN"/>
        </w:rPr>
        <w:t>，修完双学位专业培养方案规定的课程及学分，成绩合格，符合</w:t>
      </w:r>
      <w:r>
        <w:rPr>
          <w:rFonts w:hint="eastAsia" w:ascii="仿宋_GB2312" w:eastAsia="仿宋_GB2312"/>
          <w:color w:val="auto"/>
          <w:sz w:val="32"/>
          <w:shd w:val="clear" w:color="auto" w:fill="FFFFFF"/>
        </w:rPr>
        <w:t>本细则第三条要求</w:t>
      </w:r>
      <w:r>
        <w:rPr>
          <w:rFonts w:hint="eastAsia" w:ascii="仿宋_GB2312" w:hAnsi="宋体" w:eastAsia="仿宋_GB2312"/>
          <w:color w:val="auto"/>
          <w:sz w:val="32"/>
          <w:lang w:val="en-US" w:eastAsia="zh-CN"/>
        </w:rPr>
        <w:t>且能取得主修学位</w:t>
      </w:r>
      <w:r>
        <w:rPr>
          <w:rFonts w:hint="eastAsia" w:ascii="仿宋_GB2312" w:eastAsia="仿宋_GB2312"/>
          <w:color w:val="auto"/>
          <w:sz w:val="32"/>
          <w:shd w:val="clear" w:color="auto" w:fill="FFFFFF"/>
        </w:rPr>
        <w:t>的</w:t>
      </w:r>
      <w:r>
        <w:rPr>
          <w:rFonts w:hint="eastAsia" w:ascii="仿宋_GB2312" w:hAnsi="宋体" w:eastAsia="仿宋_GB2312"/>
          <w:color w:val="auto"/>
          <w:sz w:val="32"/>
          <w:lang w:val="en-US" w:eastAsia="zh-CN"/>
        </w:rPr>
        <w:t>，授予双学士学位。未能获得主修专业学位证书者，无论是否修满双学位专业所规定的学分，均不授予双学士学位。</w:t>
      </w:r>
    </w:p>
    <w:p>
      <w:pPr>
        <w:snapToGrid w:val="0"/>
        <w:spacing w:line="540" w:lineRule="exact"/>
        <w:ind w:firstLine="640" w:firstLineChars="200"/>
        <w:rPr>
          <w:rFonts w:ascii="仿宋_GB2312" w:hAnsi="宋体" w:eastAsia="仿宋_GB2312"/>
          <w:color w:val="auto"/>
          <w:sz w:val="32"/>
        </w:rPr>
      </w:pPr>
      <w:r>
        <w:rPr>
          <w:rFonts w:hint="eastAsia" w:ascii="黑体" w:hAnsi="黑体" w:eastAsia="黑体"/>
          <w:color w:val="auto"/>
          <w:sz w:val="32"/>
          <w:szCs w:val="32"/>
        </w:rPr>
        <w:t>第十</w:t>
      </w:r>
      <w:r>
        <w:rPr>
          <w:rFonts w:hint="eastAsia" w:ascii="黑体" w:hAnsi="黑体" w:eastAsia="黑体"/>
          <w:color w:val="auto"/>
          <w:sz w:val="32"/>
          <w:szCs w:val="32"/>
          <w:lang w:val="en-US" w:eastAsia="zh-CN"/>
        </w:rPr>
        <w:t>七</w:t>
      </w:r>
      <w:r>
        <w:rPr>
          <w:rFonts w:hint="eastAsia" w:ascii="黑体" w:hAnsi="黑体" w:eastAsia="黑体"/>
          <w:color w:val="auto"/>
          <w:sz w:val="32"/>
          <w:szCs w:val="32"/>
        </w:rPr>
        <w:t>条</w:t>
      </w:r>
      <w:r>
        <w:rPr>
          <w:rFonts w:hint="eastAsia" w:ascii="仿宋_GB2312" w:hAnsi="宋体" w:eastAsia="仿宋_GB2312"/>
          <w:color w:val="auto"/>
          <w:sz w:val="32"/>
          <w:lang w:val="en-US" w:eastAsia="zh-CN"/>
        </w:rPr>
        <w:t xml:space="preserve">  </w:t>
      </w:r>
      <w:r>
        <w:rPr>
          <w:rFonts w:hint="eastAsia" w:ascii="仿宋_GB2312" w:eastAsia="仿宋_GB2312"/>
          <w:color w:val="auto"/>
          <w:sz w:val="32"/>
          <w:shd w:val="clear" w:color="auto" w:fill="FFFFFF"/>
        </w:rPr>
        <w:t>符合本细则第三条要求的成人高等教育本科毕业生（成人高考应届本科毕业生和自学考试取得毕业证书一年以内的本科毕业生），同时符合以下条件的，可以申请授予学士学位：</w:t>
      </w:r>
    </w:p>
    <w:p>
      <w:pPr>
        <w:adjustRightInd w:val="0"/>
        <w:snapToGrid w:val="0"/>
        <w:spacing w:line="540" w:lineRule="exact"/>
        <w:ind w:firstLine="640" w:firstLineChars="200"/>
        <w:rPr>
          <w:rFonts w:ascii="仿宋_GB2312" w:eastAsia="仿宋_GB2312"/>
          <w:color w:val="auto"/>
          <w:sz w:val="32"/>
          <w:shd w:val="clear" w:color="auto" w:fill="FFFFFF"/>
        </w:rPr>
      </w:pPr>
      <w:r>
        <w:rPr>
          <w:rFonts w:hint="eastAsia" w:ascii="仿宋_GB2312" w:eastAsia="仿宋_GB2312"/>
          <w:color w:val="auto"/>
          <w:sz w:val="32"/>
          <w:shd w:val="clear" w:color="auto" w:fill="FFFFFF"/>
        </w:rPr>
        <w:t>1.达到我校成人高等教育毕业要求，在学期间本专业规定的课程平均成绩以及毕业论文（设计）达到以下标准：成人高考毕业生课程平均成绩≥75分，毕业论文（设计）达到优秀或良好，并通过答辩；自学考试毕业生课程平均成绩≥65分（“免考”课程成绩按原课程成绩计算），毕业论文（设计）成绩≥70分，并通过答辩。</w:t>
      </w:r>
    </w:p>
    <w:p>
      <w:pPr>
        <w:adjustRightInd w:val="0"/>
        <w:snapToGrid w:val="0"/>
        <w:spacing w:line="540" w:lineRule="exact"/>
        <w:ind w:firstLine="640" w:firstLineChars="200"/>
        <w:rPr>
          <w:rFonts w:ascii="仿宋_GB2312" w:eastAsia="仿宋_GB2312"/>
          <w:color w:val="auto"/>
          <w:sz w:val="32"/>
          <w:shd w:val="clear" w:color="auto" w:fill="FFFFFF"/>
        </w:rPr>
      </w:pPr>
      <w:r>
        <w:rPr>
          <w:rFonts w:hint="eastAsia" w:ascii="仿宋_GB2312" w:eastAsia="仿宋_GB2312"/>
          <w:color w:val="auto"/>
          <w:sz w:val="32"/>
          <w:shd w:val="clear" w:color="auto" w:fill="FFFFFF"/>
        </w:rPr>
        <w:t>2.通过河北省成人高等教育本科毕业生申请授予学士学位外国语水平统一考试，成绩合格且在有效期内。</w:t>
      </w:r>
    </w:p>
    <w:p>
      <w:pPr>
        <w:adjustRightInd w:val="0"/>
        <w:snapToGrid w:val="0"/>
        <w:spacing w:line="540" w:lineRule="exact"/>
        <w:ind w:firstLine="640" w:firstLineChars="200"/>
        <w:rPr>
          <w:rFonts w:ascii="仿宋_GB2312" w:eastAsia="仿宋_GB2312"/>
          <w:color w:val="auto"/>
          <w:sz w:val="32"/>
          <w:shd w:val="clear" w:color="auto" w:fill="FFFFFF"/>
        </w:rPr>
      </w:pPr>
      <w:r>
        <w:rPr>
          <w:rFonts w:hint="eastAsia" w:ascii="仿宋_GB2312" w:eastAsia="仿宋_GB2312"/>
          <w:color w:val="auto"/>
          <w:sz w:val="32"/>
          <w:shd w:val="clear" w:color="auto" w:fill="FFFFFF"/>
        </w:rPr>
        <w:t>根据冀学位办〔2014〕5号文件精神，凡已取得学士学位证书的本科毕业生，在申请授予成人高等教育所学专业的学士学位时，无需再参加“河北省成人高等教育本科毕业生申请授予学士学位外国语水平考试”，凭由省学位办出具的原获学士学位证书的认证报告代替“河北省成人高等教育本科毕业生申请授予学士学位外国语水平考试”合格证。</w:t>
      </w:r>
    </w:p>
    <w:p>
      <w:pPr>
        <w:adjustRightInd w:val="0"/>
        <w:snapToGrid w:val="0"/>
        <w:spacing w:line="540" w:lineRule="exact"/>
        <w:ind w:firstLine="640" w:firstLineChars="200"/>
        <w:rPr>
          <w:rFonts w:ascii="仿宋_GB2312" w:hAnsi="宋体" w:eastAsia="仿宋_GB2312"/>
          <w:color w:val="auto"/>
          <w:sz w:val="32"/>
        </w:rPr>
      </w:pPr>
      <w:r>
        <w:rPr>
          <w:rFonts w:hint="eastAsia" w:ascii="黑体" w:hAnsi="黑体" w:eastAsia="黑体"/>
          <w:color w:val="auto"/>
          <w:sz w:val="32"/>
          <w:szCs w:val="32"/>
        </w:rPr>
        <w:t>第十</w:t>
      </w:r>
      <w:r>
        <w:rPr>
          <w:rFonts w:hint="eastAsia" w:ascii="黑体" w:hAnsi="黑体" w:eastAsia="黑体"/>
          <w:color w:val="auto"/>
          <w:sz w:val="32"/>
          <w:szCs w:val="32"/>
          <w:lang w:val="en-US" w:eastAsia="zh-CN"/>
        </w:rPr>
        <w:t>八</w:t>
      </w:r>
      <w:r>
        <w:rPr>
          <w:rFonts w:hint="eastAsia" w:ascii="黑体" w:hAnsi="黑体" w:eastAsia="黑体"/>
          <w:color w:val="auto"/>
          <w:sz w:val="32"/>
          <w:szCs w:val="32"/>
        </w:rPr>
        <w:t>条</w:t>
      </w:r>
      <w:r>
        <w:rPr>
          <w:rFonts w:hint="eastAsia" w:ascii="仿宋_GB2312" w:hAnsi="宋体" w:eastAsia="仿宋_GB2312"/>
          <w:color w:val="auto"/>
          <w:sz w:val="32"/>
        </w:rPr>
        <w:t xml:space="preserve">  有下列情形之一者，不授予学士学位:</w:t>
      </w:r>
    </w:p>
    <w:p>
      <w:pPr>
        <w:snapToGrid w:val="0"/>
        <w:spacing w:line="540" w:lineRule="exact"/>
        <w:ind w:firstLine="640" w:firstLineChars="200"/>
        <w:rPr>
          <w:rFonts w:ascii="仿宋_GB2312" w:hAnsi="宋体" w:eastAsia="仿宋_GB2312"/>
          <w:color w:val="auto"/>
          <w:sz w:val="32"/>
        </w:rPr>
      </w:pPr>
      <w:r>
        <w:rPr>
          <w:rFonts w:hint="eastAsia" w:ascii="仿宋_GB2312" w:hAnsi="宋体" w:eastAsia="仿宋_GB2312"/>
          <w:color w:val="auto"/>
          <w:sz w:val="32"/>
        </w:rPr>
        <w:t>1.未取得毕业资格的。</w:t>
      </w:r>
    </w:p>
    <w:p>
      <w:pPr>
        <w:snapToGrid w:val="0"/>
        <w:spacing w:line="540" w:lineRule="exact"/>
        <w:ind w:firstLine="640" w:firstLineChars="200"/>
        <w:rPr>
          <w:rFonts w:ascii="仿宋_GB2312" w:hAnsi="宋体" w:eastAsia="仿宋_GB2312"/>
          <w:color w:val="auto"/>
          <w:sz w:val="32"/>
        </w:rPr>
      </w:pPr>
      <w:r>
        <w:rPr>
          <w:rFonts w:hint="eastAsia" w:ascii="仿宋_GB2312" w:hAnsi="宋体" w:eastAsia="仿宋_GB2312"/>
          <w:color w:val="auto"/>
          <w:sz w:val="32"/>
        </w:rPr>
        <w:t>2.</w:t>
      </w:r>
      <w:r>
        <w:rPr>
          <w:rFonts w:hint="eastAsia" w:ascii="仿宋_GB2312" w:eastAsia="仿宋_GB2312"/>
          <w:color w:val="auto"/>
          <w:sz w:val="32"/>
          <w:shd w:val="clear" w:color="auto" w:fill="FFFFFF"/>
        </w:rPr>
        <w:t>普通高等教育全日制本科生</w:t>
      </w:r>
      <w:r>
        <w:rPr>
          <w:rFonts w:hint="eastAsia" w:ascii="仿宋_GB2312" w:hAnsi="宋体" w:eastAsia="仿宋_GB2312"/>
          <w:color w:val="auto"/>
          <w:sz w:val="32"/>
        </w:rPr>
        <w:t>未达到本细则第十三条、第十四条和第十五条规定的。</w:t>
      </w:r>
    </w:p>
    <w:p>
      <w:pPr>
        <w:snapToGrid w:val="0"/>
        <w:spacing w:line="540" w:lineRule="exact"/>
        <w:ind w:firstLine="640" w:firstLineChars="200"/>
        <w:rPr>
          <w:rFonts w:ascii="仿宋_GB2312" w:hAnsi="宋体" w:eastAsia="仿宋_GB2312"/>
          <w:color w:val="auto"/>
          <w:sz w:val="32"/>
        </w:rPr>
      </w:pPr>
      <w:r>
        <w:rPr>
          <w:rFonts w:hint="eastAsia" w:ascii="仿宋_GB2312" w:hAnsi="宋体" w:eastAsia="仿宋_GB2312"/>
          <w:color w:val="auto"/>
          <w:sz w:val="32"/>
        </w:rPr>
        <w:t>3.</w:t>
      </w:r>
      <w:r>
        <w:rPr>
          <w:rFonts w:hint="eastAsia" w:ascii="仿宋_GB2312" w:eastAsia="仿宋_GB2312"/>
          <w:color w:val="auto"/>
          <w:sz w:val="32"/>
          <w:shd w:val="clear" w:color="auto" w:fill="FFFFFF"/>
        </w:rPr>
        <w:t>成人高等教育学生未达到本细则第十六条规定的。</w:t>
      </w:r>
    </w:p>
    <w:p>
      <w:pPr>
        <w:snapToGrid w:val="0"/>
        <w:spacing w:line="540" w:lineRule="exact"/>
        <w:ind w:firstLine="640" w:firstLineChars="200"/>
        <w:rPr>
          <w:rFonts w:ascii="仿宋_GB2312" w:hAnsi="宋体" w:eastAsia="仿宋_GB2312"/>
          <w:color w:val="auto"/>
          <w:sz w:val="32"/>
        </w:rPr>
      </w:pPr>
      <w:r>
        <w:rPr>
          <w:rFonts w:hint="eastAsia" w:ascii="仿宋_GB2312" w:hAnsi="宋体" w:eastAsia="仿宋_GB2312"/>
          <w:color w:val="auto"/>
          <w:sz w:val="32"/>
        </w:rPr>
        <w:t>4.严重违反《河北科技师范学院学术道德规范》和《河北科技师范学院关于对学位授予工作中舞弊作伪行为及相关人员的处理办法》中的相关规定，在学术活动、学位授予中弄虚作假的。</w:t>
      </w:r>
    </w:p>
    <w:p>
      <w:pPr>
        <w:snapToGrid w:val="0"/>
        <w:spacing w:line="540" w:lineRule="exact"/>
        <w:ind w:firstLine="640" w:firstLineChars="200"/>
        <w:rPr>
          <w:rFonts w:ascii="仿宋_GB2312" w:hAnsi="宋体" w:eastAsia="仿宋_GB2312"/>
          <w:color w:val="auto"/>
          <w:sz w:val="32"/>
        </w:rPr>
      </w:pPr>
      <w:r>
        <w:rPr>
          <w:rFonts w:hint="eastAsia" w:ascii="黑体" w:hAnsi="黑体" w:eastAsia="黑体" w:cs="黑体"/>
          <w:color w:val="auto"/>
          <w:sz w:val="32"/>
          <w:shd w:val="clear" w:color="auto" w:fill="FFFFFF"/>
        </w:rPr>
        <w:t>第</w:t>
      </w:r>
      <w:r>
        <w:rPr>
          <w:rFonts w:hint="eastAsia" w:ascii="黑体" w:hAnsi="黑体" w:eastAsia="黑体"/>
          <w:color w:val="auto"/>
          <w:sz w:val="32"/>
          <w:szCs w:val="32"/>
        </w:rPr>
        <w:t>十</w:t>
      </w:r>
      <w:r>
        <w:rPr>
          <w:rFonts w:hint="eastAsia" w:ascii="黑体" w:hAnsi="黑体" w:eastAsia="黑体"/>
          <w:color w:val="auto"/>
          <w:sz w:val="32"/>
          <w:szCs w:val="32"/>
          <w:lang w:val="en-US" w:eastAsia="zh-CN"/>
        </w:rPr>
        <w:t>九</w:t>
      </w:r>
      <w:r>
        <w:rPr>
          <w:rFonts w:hint="eastAsia" w:ascii="黑体" w:hAnsi="黑体" w:eastAsia="黑体" w:cs="黑体"/>
          <w:color w:val="auto"/>
          <w:sz w:val="32"/>
          <w:shd w:val="clear" w:color="auto" w:fill="FFFFFF"/>
        </w:rPr>
        <w:t>条</w:t>
      </w:r>
      <w:r>
        <w:rPr>
          <w:rFonts w:hint="eastAsia" w:ascii="仿宋_GB2312" w:eastAsia="仿宋_GB2312"/>
          <w:color w:val="auto"/>
          <w:sz w:val="32"/>
          <w:shd w:val="clear" w:color="auto" w:fill="FFFFFF"/>
        </w:rPr>
        <w:t xml:space="preserve">  </w:t>
      </w:r>
      <w:r>
        <w:rPr>
          <w:rFonts w:hint="eastAsia" w:ascii="仿宋_GB2312" w:hAnsi="宋体" w:eastAsia="仿宋_GB2312"/>
          <w:color w:val="auto"/>
          <w:sz w:val="32"/>
        </w:rPr>
        <w:t>授予学士学位的程序：</w:t>
      </w:r>
    </w:p>
    <w:p>
      <w:pPr>
        <w:snapToGrid w:val="0"/>
        <w:spacing w:line="540" w:lineRule="exact"/>
        <w:ind w:firstLine="640" w:firstLineChars="200"/>
        <w:rPr>
          <w:rFonts w:ascii="仿宋_GB2312" w:hAnsi="宋体" w:eastAsia="仿宋_GB2312"/>
          <w:color w:val="auto"/>
          <w:sz w:val="32"/>
        </w:rPr>
      </w:pPr>
      <w:r>
        <w:rPr>
          <w:rFonts w:hint="eastAsia" w:ascii="仿宋_GB2312" w:hAnsi="宋体" w:eastAsia="仿宋_GB2312"/>
          <w:color w:val="auto"/>
          <w:sz w:val="32"/>
        </w:rPr>
        <w:t>1.</w:t>
      </w:r>
      <w:r>
        <w:rPr>
          <w:rFonts w:hint="eastAsia" w:ascii="仿宋_GB2312" w:eastAsia="仿宋_GB2312"/>
          <w:color w:val="auto"/>
          <w:sz w:val="32"/>
          <w:shd w:val="clear" w:color="auto" w:fill="FFFFFF"/>
        </w:rPr>
        <w:t>普通高等教育全日制本科生由</w:t>
      </w:r>
      <w:r>
        <w:rPr>
          <w:rFonts w:hint="eastAsia" w:ascii="仿宋_GB2312" w:hAnsi="宋体" w:eastAsia="仿宋_GB2312"/>
          <w:color w:val="auto"/>
          <w:sz w:val="32"/>
        </w:rPr>
        <w:t>各院（系）学位评定分委员会根据培养方案要求，逐个审核学生学习成绩、目标课程的考试成绩或证书，提出授予学士学位学生建议名单，对不符合学士学位授予标准的，需提交名单及详细说明，由院（系）签字盖章后报教务处复审；教务处对各院（系）提出的授予学士学位学生建议名单进行复审后提名到校学位评定委员会。</w:t>
      </w:r>
    </w:p>
    <w:p>
      <w:pPr>
        <w:adjustRightInd w:val="0"/>
        <w:snapToGrid w:val="0"/>
        <w:spacing w:line="540" w:lineRule="exact"/>
        <w:ind w:firstLine="640" w:firstLineChars="200"/>
        <w:rPr>
          <w:rFonts w:ascii="仿宋_GB2312" w:hAnsi="宋体" w:eastAsia="仿宋_GB2312"/>
          <w:color w:val="auto"/>
          <w:sz w:val="32"/>
        </w:rPr>
      </w:pPr>
      <w:r>
        <w:rPr>
          <w:rFonts w:hint="eastAsia" w:ascii="仿宋_GB2312" w:hAnsi="宋体" w:eastAsia="仿宋_GB2312"/>
          <w:color w:val="auto"/>
          <w:sz w:val="32"/>
        </w:rPr>
        <w:t>2.</w:t>
      </w:r>
      <w:r>
        <w:rPr>
          <w:rFonts w:hint="eastAsia" w:ascii="仿宋_GB2312" w:eastAsia="仿宋_GB2312"/>
          <w:color w:val="auto"/>
          <w:sz w:val="32"/>
          <w:shd w:val="clear" w:color="auto" w:fill="FFFFFF"/>
        </w:rPr>
        <w:t>成人高等教育本科生由继续教育学院</w:t>
      </w:r>
      <w:r>
        <w:rPr>
          <w:rFonts w:hint="eastAsia" w:ascii="仿宋_GB2312" w:hAnsi="宋体" w:eastAsia="仿宋_GB2312"/>
          <w:color w:val="auto"/>
          <w:sz w:val="32"/>
        </w:rPr>
        <w:t>学位评定分委员会</w:t>
      </w:r>
      <w:r>
        <w:rPr>
          <w:rFonts w:hint="eastAsia" w:ascii="仿宋_GB2312" w:eastAsia="仿宋_GB2312"/>
          <w:color w:val="auto"/>
          <w:sz w:val="32"/>
          <w:shd w:val="clear" w:color="auto" w:fill="FFFFFF"/>
        </w:rPr>
        <w:t>根据学生申请，对申请者的学习成绩、申请材料进行初审，将初审结果汇总后提交校学位评定委员会。</w:t>
      </w:r>
    </w:p>
    <w:p>
      <w:pPr>
        <w:snapToGrid w:val="0"/>
        <w:spacing w:line="540" w:lineRule="exact"/>
        <w:ind w:firstLine="640" w:firstLineChars="200"/>
        <w:rPr>
          <w:rFonts w:ascii="仿宋_GB2312" w:hAnsi="宋体" w:eastAsia="仿宋_GB2312"/>
          <w:color w:val="auto"/>
          <w:sz w:val="32"/>
        </w:rPr>
      </w:pPr>
      <w:r>
        <w:rPr>
          <w:rFonts w:hint="eastAsia" w:ascii="仿宋_GB2312" w:hAnsi="宋体" w:eastAsia="仿宋_GB2312"/>
          <w:color w:val="auto"/>
          <w:sz w:val="32"/>
        </w:rPr>
        <w:t>3.校学位评定委员会审查相关材料、确定授予学士学位学生名单，并对结果进行公示。对不能授予学位的毕业生，注明原因并由院（系）学位评定分委员会通知到本人。</w:t>
      </w:r>
    </w:p>
    <w:p>
      <w:pPr>
        <w:snapToGrid w:val="0"/>
        <w:spacing w:line="540" w:lineRule="exact"/>
        <w:ind w:firstLine="640" w:firstLineChars="200"/>
        <w:rPr>
          <w:rFonts w:ascii="仿宋_GB2312" w:hAnsi="宋体" w:eastAsia="仿宋_GB2312"/>
          <w:color w:val="auto"/>
          <w:sz w:val="32"/>
        </w:rPr>
      </w:pPr>
      <w:r>
        <w:rPr>
          <w:rFonts w:hint="eastAsia" w:ascii="仿宋_GB2312" w:hAnsi="宋体" w:eastAsia="仿宋_GB2312"/>
          <w:color w:val="auto"/>
          <w:sz w:val="32"/>
        </w:rPr>
        <w:t>4.各院（系）学位评定分委员会根据校学位评定委员会审查通过的学士学位授予名单，举行学士学位授予仪式，颁发学士学位证书。</w:t>
      </w:r>
    </w:p>
    <w:p>
      <w:pPr>
        <w:snapToGrid w:val="0"/>
        <w:spacing w:line="540" w:lineRule="exact"/>
        <w:ind w:firstLine="640" w:firstLineChars="200"/>
        <w:rPr>
          <w:rFonts w:ascii="仿宋_GB2312" w:hAnsi="宋体" w:eastAsia="仿宋_GB2312"/>
          <w:color w:val="auto"/>
          <w:sz w:val="32"/>
        </w:rPr>
      </w:pPr>
      <w:r>
        <w:rPr>
          <w:rFonts w:hint="eastAsia" w:ascii="仿宋_GB2312" w:hAnsi="宋体" w:eastAsia="仿宋_GB2312"/>
          <w:color w:val="auto"/>
          <w:sz w:val="32"/>
        </w:rPr>
        <w:t>5.教务处、继续教育学院分别印制学士学位证明，校学位评定委员会盖章后装入学生本人档案。</w:t>
      </w:r>
    </w:p>
    <w:p>
      <w:pPr>
        <w:pStyle w:val="3"/>
        <w:snapToGrid w:val="0"/>
        <w:spacing w:line="540" w:lineRule="exact"/>
        <w:jc w:val="center"/>
        <w:rPr>
          <w:rFonts w:ascii="黑体" w:hAnsi="仿宋" w:eastAsia="黑体"/>
          <w:bCs/>
          <w:color w:val="auto"/>
          <w:sz w:val="32"/>
          <w:szCs w:val="32"/>
        </w:rPr>
      </w:pPr>
      <w:r>
        <w:rPr>
          <w:rFonts w:hint="eastAsia" w:ascii="黑体" w:hAnsi="仿宋" w:eastAsia="黑体"/>
          <w:bCs/>
          <w:color w:val="auto"/>
          <w:sz w:val="32"/>
          <w:szCs w:val="32"/>
        </w:rPr>
        <w:t>第四章  硕士学位</w:t>
      </w:r>
      <w:bookmarkStart w:id="6" w:name="_GoBack"/>
      <w:bookmarkEnd w:id="6"/>
    </w:p>
    <w:p>
      <w:pPr>
        <w:snapToGrid w:val="0"/>
        <w:spacing w:line="540" w:lineRule="exact"/>
        <w:ind w:firstLine="640" w:firstLineChars="200"/>
        <w:rPr>
          <w:rFonts w:ascii="仿宋_GB2312" w:hAnsi="仿宋" w:eastAsia="仿宋_GB2312"/>
          <w:color w:val="auto"/>
          <w:sz w:val="32"/>
          <w:szCs w:val="32"/>
        </w:rPr>
      </w:pPr>
      <w:r>
        <w:rPr>
          <w:rFonts w:hint="eastAsia" w:ascii="黑体" w:hAnsi="仿宋" w:eastAsia="黑体"/>
          <w:color w:val="auto"/>
          <w:sz w:val="32"/>
          <w:szCs w:val="32"/>
        </w:rPr>
        <w:t>第</w:t>
      </w:r>
      <w:r>
        <w:rPr>
          <w:rFonts w:hint="eastAsia" w:ascii="黑体" w:hAnsi="仿宋" w:eastAsia="黑体"/>
          <w:color w:val="auto"/>
          <w:sz w:val="32"/>
          <w:szCs w:val="32"/>
          <w:lang w:val="en-US" w:eastAsia="zh-CN"/>
        </w:rPr>
        <w:t>二十</w:t>
      </w:r>
      <w:r>
        <w:rPr>
          <w:rFonts w:hint="eastAsia" w:ascii="黑体" w:hAnsi="仿宋" w:eastAsia="黑体"/>
          <w:color w:val="auto"/>
          <w:sz w:val="32"/>
          <w:szCs w:val="32"/>
        </w:rPr>
        <w:t>条</w:t>
      </w:r>
      <w:r>
        <w:rPr>
          <w:rFonts w:hint="eastAsia" w:ascii="仿宋_GB2312" w:hAnsi="仿宋" w:eastAsia="仿宋_GB2312"/>
          <w:color w:val="auto"/>
          <w:sz w:val="32"/>
          <w:szCs w:val="32"/>
        </w:rPr>
        <w:t xml:space="preserve">  凡符合本细则第三条规定的硕士学位研究生，完成培养方案规定的各项环节，成绩合格，通过学位论文答辩，达到下述学术水平者，授予硕士学位：</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1.掌握本学科坚实的基础理论和系统的专业知识。</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2.掌握相应的专业技能和方法，具有从事科学研究和独立承担本专业工作的实际能力。</w:t>
      </w:r>
    </w:p>
    <w:p>
      <w:pPr>
        <w:snapToGrid w:val="0"/>
        <w:spacing w:line="540" w:lineRule="exact"/>
        <w:ind w:firstLine="640" w:firstLineChars="200"/>
        <w:rPr>
          <w:rFonts w:ascii="仿宋_GB2312" w:hAnsi="仿宋" w:eastAsia="仿宋_GB2312"/>
          <w:color w:val="auto"/>
          <w:sz w:val="32"/>
          <w:szCs w:val="32"/>
        </w:rPr>
      </w:pPr>
      <w:r>
        <w:rPr>
          <w:rFonts w:hint="eastAsia" w:ascii="黑体" w:hAnsi="仿宋" w:eastAsia="黑体"/>
          <w:color w:val="auto"/>
          <w:sz w:val="32"/>
          <w:szCs w:val="32"/>
        </w:rPr>
        <w:t>第二十</w:t>
      </w:r>
      <w:r>
        <w:rPr>
          <w:rFonts w:hint="eastAsia" w:ascii="黑体" w:hAnsi="仿宋" w:eastAsia="黑体"/>
          <w:color w:val="auto"/>
          <w:sz w:val="32"/>
          <w:szCs w:val="32"/>
          <w:lang w:val="en-US" w:eastAsia="zh-CN"/>
        </w:rPr>
        <w:t>一</w:t>
      </w:r>
      <w:r>
        <w:rPr>
          <w:rFonts w:hint="eastAsia" w:ascii="黑体" w:hAnsi="仿宋" w:eastAsia="黑体"/>
          <w:color w:val="auto"/>
          <w:sz w:val="32"/>
          <w:szCs w:val="32"/>
        </w:rPr>
        <w:t>条</w:t>
      </w:r>
      <w:r>
        <w:rPr>
          <w:rFonts w:hint="eastAsia" w:ascii="仿宋_GB2312" w:hAnsi="仿宋" w:eastAsia="仿宋_GB2312"/>
          <w:color w:val="auto"/>
          <w:sz w:val="32"/>
          <w:szCs w:val="32"/>
        </w:rPr>
        <w:t xml:space="preserve">  申请材料</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申请人提出学位申请时，应向学位评定分委员会送交以下材料：</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1.《河北科技师范学院硕士学位审批书》。</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2.学位论文。</w:t>
      </w:r>
    </w:p>
    <w:p>
      <w:pPr>
        <w:pStyle w:val="3"/>
        <w:snapToGrid w:val="0"/>
        <w:spacing w:line="540" w:lineRule="exact"/>
        <w:ind w:firstLine="640" w:firstLineChars="200"/>
        <w:rPr>
          <w:rFonts w:ascii="仿宋_GB2312" w:hAnsi="仿宋" w:eastAsia="仿宋_GB2312" w:cstheme="minorBidi"/>
          <w:color w:val="auto"/>
          <w:sz w:val="32"/>
          <w:szCs w:val="32"/>
        </w:rPr>
      </w:pPr>
      <w:r>
        <w:rPr>
          <w:rFonts w:hint="eastAsia" w:ascii="黑体" w:hAnsi="仿宋" w:eastAsia="黑体" w:cstheme="minorBidi"/>
          <w:color w:val="auto"/>
          <w:sz w:val="32"/>
          <w:szCs w:val="32"/>
        </w:rPr>
        <w:t>第二十</w:t>
      </w:r>
      <w:r>
        <w:rPr>
          <w:rFonts w:hint="eastAsia" w:ascii="黑体" w:hAnsi="仿宋" w:eastAsia="黑体" w:cstheme="minorBidi"/>
          <w:color w:val="auto"/>
          <w:sz w:val="32"/>
          <w:szCs w:val="32"/>
          <w:lang w:val="en-US" w:eastAsia="zh-CN"/>
        </w:rPr>
        <w:t>二</w:t>
      </w:r>
      <w:r>
        <w:rPr>
          <w:rFonts w:hint="eastAsia" w:ascii="黑体" w:hAnsi="仿宋" w:eastAsia="黑体" w:cstheme="minorBidi"/>
          <w:color w:val="auto"/>
          <w:sz w:val="32"/>
          <w:szCs w:val="32"/>
        </w:rPr>
        <w:t xml:space="preserve">条  </w:t>
      </w:r>
      <w:r>
        <w:rPr>
          <w:rFonts w:hint="eastAsia" w:ascii="仿宋_GB2312" w:hAnsi="仿宋" w:eastAsia="仿宋_GB2312" w:cstheme="minorBidi"/>
          <w:color w:val="auto"/>
          <w:sz w:val="32"/>
          <w:szCs w:val="32"/>
        </w:rPr>
        <w:t>资格审查</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1.学位评定分委员会在答辩前两个月对学位申请者进行资格审查，包括课程学习、实践环节、补修课完成情况、公开发表学术论文及政治思想品德等方面。</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2.学位论文的基本要求</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学术学位论文的基本论点、结论和建议具有一定的理论意义或实际价值；应能表明作者确实在本学科领域掌握了坚实的理论基础、系统的专业知识，以及熟练的研究方法与技能，并对所研究课题有新的见解，有从事科学研究或独立担负专门技术工作的能力；专业学位论文要体现研究生综合运用科学理论、方法和技术解决实际问题的能力，选题应体现应用性和技术性。</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（2）论文工作应在导师指导下独立完成，论文内容应以自己获得的第一手实验数据或调查数据为基础。</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（3）论文须有一定的工作量，论文题目确定后，完成论文的工作时间一般应在一学年以上。</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（4）论文表述须通顺、简洁、准确，图表清晰、数据可靠，实事求是地得出结论，引用他人资料或结论须加以说明。</w:t>
      </w:r>
    </w:p>
    <w:p>
      <w:pPr>
        <w:pStyle w:val="3"/>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（5）学位论文的格式符合学校的统一</w:t>
      </w:r>
      <w:r>
        <w:rPr>
          <w:rFonts w:hint="eastAsia" w:ascii="仿宋_GB2312" w:hAnsi="仿宋" w:eastAsia="仿宋_GB2312"/>
          <w:color w:val="auto"/>
          <w:sz w:val="32"/>
          <w:szCs w:val="32"/>
          <w:lang w:val="en-US" w:eastAsia="zh-CN"/>
        </w:rPr>
        <w:t>规定</w:t>
      </w:r>
      <w:r>
        <w:rPr>
          <w:rFonts w:hint="eastAsia" w:ascii="仿宋_GB2312" w:hAnsi="仿宋" w:eastAsia="仿宋_GB2312"/>
          <w:color w:val="auto"/>
          <w:sz w:val="32"/>
          <w:szCs w:val="32"/>
        </w:rPr>
        <w:t>。</w:t>
      </w:r>
    </w:p>
    <w:p>
      <w:pPr>
        <w:pStyle w:val="3"/>
        <w:spacing w:line="540" w:lineRule="exact"/>
        <w:ind w:firstLine="640" w:firstLineChars="200"/>
        <w:rPr>
          <w:rFonts w:ascii="仿宋_GB2312" w:hAnsi="仿宋" w:eastAsia="仿宋_GB2312"/>
          <w:color w:val="auto"/>
          <w:kern w:val="0"/>
          <w:sz w:val="32"/>
          <w:szCs w:val="32"/>
        </w:rPr>
      </w:pPr>
      <w:r>
        <w:rPr>
          <w:rFonts w:hint="eastAsia" w:ascii="仿宋_GB2312" w:hAnsi="仿宋" w:eastAsia="仿宋_GB2312"/>
          <w:color w:val="auto"/>
          <w:sz w:val="32"/>
          <w:szCs w:val="32"/>
        </w:rPr>
        <w:t>（6）学术学位论文主要以基础或应用基础研究为主；专业学位</w:t>
      </w:r>
      <w:r>
        <w:rPr>
          <w:rFonts w:hint="eastAsia" w:ascii="仿宋_GB2312" w:hAnsi="仿宋" w:eastAsia="仿宋_GB2312"/>
          <w:color w:val="auto"/>
          <w:kern w:val="0"/>
          <w:sz w:val="32"/>
          <w:szCs w:val="32"/>
        </w:rPr>
        <w:t>论文的内容可以是调研报告、应用研究、规划设计、产品开发、案例分析、项目管理等，但格式上与学术学位论文相近。</w:t>
      </w:r>
    </w:p>
    <w:p>
      <w:pPr>
        <w:pStyle w:val="3"/>
        <w:snapToGrid w:val="0"/>
        <w:spacing w:line="540" w:lineRule="exact"/>
        <w:ind w:firstLine="640" w:firstLineChars="200"/>
        <w:rPr>
          <w:rFonts w:ascii="黑体" w:hAnsi="仿宋" w:eastAsia="黑体"/>
          <w:bCs/>
          <w:color w:val="auto"/>
          <w:sz w:val="32"/>
          <w:szCs w:val="32"/>
        </w:rPr>
      </w:pPr>
      <w:r>
        <w:rPr>
          <w:rFonts w:hint="eastAsia" w:ascii="黑体" w:hAnsi="仿宋" w:eastAsia="黑体"/>
          <w:color w:val="auto"/>
          <w:sz w:val="32"/>
          <w:szCs w:val="32"/>
        </w:rPr>
        <w:t>第二十</w:t>
      </w:r>
      <w:r>
        <w:rPr>
          <w:rFonts w:hint="eastAsia" w:ascii="黑体" w:hAnsi="仿宋" w:eastAsia="黑体"/>
          <w:color w:val="auto"/>
          <w:sz w:val="32"/>
          <w:szCs w:val="32"/>
          <w:lang w:val="en-US" w:eastAsia="zh-CN"/>
        </w:rPr>
        <w:t>三</w:t>
      </w:r>
      <w:r>
        <w:rPr>
          <w:rFonts w:hint="eastAsia" w:ascii="黑体" w:hAnsi="仿宋" w:eastAsia="黑体"/>
          <w:color w:val="auto"/>
          <w:sz w:val="32"/>
          <w:szCs w:val="32"/>
        </w:rPr>
        <w:t>条</w:t>
      </w:r>
      <w:r>
        <w:rPr>
          <w:rFonts w:hint="eastAsia" w:ascii="黑体" w:hAnsi="仿宋" w:eastAsia="黑体"/>
          <w:bCs/>
          <w:color w:val="auto"/>
          <w:sz w:val="32"/>
          <w:szCs w:val="32"/>
        </w:rPr>
        <w:t xml:space="preserve">  </w:t>
      </w:r>
      <w:r>
        <w:rPr>
          <w:rFonts w:hint="eastAsia" w:ascii="仿宋_GB2312" w:hAnsi="仿宋" w:eastAsia="仿宋_GB2312" w:cstheme="minorBidi"/>
          <w:color w:val="auto"/>
          <w:sz w:val="32"/>
          <w:szCs w:val="32"/>
        </w:rPr>
        <w:t>学位论文检测与评阅</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1.申请资格通过审查后，由校学位办公室对申请者的学位论文进行</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文字复制比</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检测，自然科学类总</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文字复制比</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一般不超过15%，社会科学类总</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文字复制比</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一般不超过20%。</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2.预审。为保证论文的外审质量，学位论文在送评阅人外审之前，需要经过预审。预审由培养单位组织，以预答辩等形式进行。</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3.预审通过后，进行论文外审（论文评阅）。硕士学位论文评阅首先由2位具有高级专业技术职务的、熟悉论文研究内容的校外专家评阅，其中专业学位论文的评阅要求1人为企（事）业、科研院（所）等实际工作部门的专家。</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4.评阅人应对送审论文是否达到硕士学位水平进行认真、细致的评阅，写出详细的学术评语。评阅人在评阅论文时，学术学位论文重点审核内容包括：论文选题、文献综述、论文水平、论文写作和综合水平（详见学术学位论文评阅表）。专业学位论文重点审核内容包括：选题的针对性、解决实际问题能力、工作难易和工作量、先进性和实用性、应用价值和写作水平（详见专业学位论文评阅表）。</w:t>
      </w:r>
    </w:p>
    <w:p>
      <w:pPr>
        <w:snapToGrid w:val="0"/>
        <w:spacing w:line="54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5.如果2名评阅人认为论文达到硕士学位论文水平，可以进入答辩环节；如果有1人认为论文没有达到硕士学位论文水平，再增补1名评阅人，若第三名评阅人认为论文达到硕士学位论文水平，则可以进入答辩环节；若第三名评阅人认为论文没有达到硕士学位论文水平，则本次学位申请无效。需对论文进行修改后，一个或两个学期内再次提出申请论文外审。</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6.学位论文评阅人姓名、单位应当保密，指导教师（包括导师组成员）不能作为论文评阅人。</w:t>
      </w:r>
    </w:p>
    <w:p>
      <w:pPr>
        <w:pStyle w:val="3"/>
        <w:snapToGrid w:val="0"/>
        <w:spacing w:line="540" w:lineRule="exact"/>
        <w:ind w:firstLine="640" w:firstLineChars="200"/>
        <w:jc w:val="left"/>
        <w:rPr>
          <w:rFonts w:ascii="仿宋_GB2312" w:hAnsi="仿宋" w:eastAsia="仿宋_GB2312" w:cstheme="minorBidi"/>
          <w:color w:val="auto"/>
          <w:sz w:val="32"/>
          <w:szCs w:val="32"/>
        </w:rPr>
      </w:pPr>
      <w:r>
        <w:rPr>
          <w:rFonts w:hint="eastAsia" w:ascii="黑体" w:hAnsi="仿宋" w:eastAsia="黑体"/>
          <w:color w:val="auto"/>
          <w:sz w:val="32"/>
          <w:szCs w:val="32"/>
        </w:rPr>
        <w:t>第二十</w:t>
      </w:r>
      <w:r>
        <w:rPr>
          <w:rFonts w:hint="eastAsia" w:ascii="黑体" w:hAnsi="仿宋" w:eastAsia="黑体"/>
          <w:color w:val="auto"/>
          <w:sz w:val="32"/>
          <w:szCs w:val="32"/>
          <w:lang w:val="en-US" w:eastAsia="zh-CN"/>
        </w:rPr>
        <w:t>四</w:t>
      </w:r>
      <w:r>
        <w:rPr>
          <w:rFonts w:hint="eastAsia" w:ascii="黑体" w:hAnsi="仿宋" w:eastAsia="黑体"/>
          <w:color w:val="auto"/>
          <w:sz w:val="32"/>
          <w:szCs w:val="32"/>
        </w:rPr>
        <w:t>条</w:t>
      </w:r>
      <w:r>
        <w:rPr>
          <w:rFonts w:hint="eastAsia" w:ascii="黑体" w:hAnsi="仿宋" w:eastAsia="黑体"/>
          <w:bCs/>
          <w:color w:val="auto"/>
          <w:sz w:val="32"/>
          <w:szCs w:val="32"/>
        </w:rPr>
        <w:t xml:space="preserve">  </w:t>
      </w:r>
      <w:r>
        <w:rPr>
          <w:rFonts w:hint="eastAsia" w:ascii="仿宋_GB2312" w:hAnsi="仿宋" w:eastAsia="仿宋_GB2312" w:cstheme="minorBidi"/>
          <w:color w:val="auto"/>
          <w:sz w:val="32"/>
          <w:szCs w:val="32"/>
        </w:rPr>
        <w:t>学位论文答辩</w:t>
      </w:r>
    </w:p>
    <w:p>
      <w:pPr>
        <w:snapToGrid w:val="0"/>
        <w:spacing w:line="540" w:lineRule="exact"/>
        <w:ind w:firstLine="640" w:firstLineChars="200"/>
        <w:rPr>
          <w:color w:val="auto"/>
        </w:rPr>
      </w:pPr>
      <w:r>
        <w:rPr>
          <w:rFonts w:hint="eastAsia" w:ascii="仿宋_GB2312" w:hAnsi="仿宋" w:eastAsia="仿宋_GB2312"/>
          <w:color w:val="auto"/>
          <w:sz w:val="32"/>
          <w:szCs w:val="32"/>
        </w:rPr>
        <w:t>1.学位论文答辩时间。</w:t>
      </w:r>
      <w:r>
        <w:rPr>
          <w:rFonts w:hint="eastAsia" w:ascii="仿宋_GB2312" w:hAnsi="仿宋" w:eastAsia="仿宋_GB2312"/>
          <w:color w:val="auto"/>
          <w:sz w:val="32"/>
          <w:szCs w:val="32"/>
          <w:lang w:val="en-US" w:eastAsia="zh-CN"/>
        </w:rPr>
        <w:t>学生应</w:t>
      </w:r>
      <w:r>
        <w:rPr>
          <w:rFonts w:hint="eastAsia" w:ascii="仿宋_GB2312" w:hAnsi="仿宋" w:eastAsia="仿宋_GB2312"/>
          <w:color w:val="auto"/>
          <w:sz w:val="32"/>
          <w:szCs w:val="32"/>
        </w:rPr>
        <w:t>按规定时间完成论文答辩。如有特殊情况需要提前或延期者，应填写《研究生学位论文提前答辩审批表》或《研究生推迟学位论文答辩申请书》，报送研究生部审批。专业学位研究生和非全日制研究生原则上不允许提前申请学位。</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硕士学位论文答辩委员会。硕士学位论文答辩委员会委员由5～7名具有高级专业技术职务或具有博士学位、熟悉论文研究内容的专家组成，设主席1名，其中校外专家不少于1人，专业学位论文答辩委员会成员要求来自企（事）业</w:t>
      </w:r>
      <w:r>
        <w:rPr>
          <w:rFonts w:hint="eastAsia" w:ascii="仿宋_GB2312" w:hAnsi="仿宋" w:eastAsia="仿宋_GB2312"/>
          <w:color w:val="auto"/>
          <w:sz w:val="32"/>
          <w:szCs w:val="32"/>
          <w:lang w:val="en-US" w:eastAsia="zh-CN"/>
        </w:rPr>
        <w:t>单位</w:t>
      </w:r>
      <w:r>
        <w:rPr>
          <w:rFonts w:hint="eastAsia" w:ascii="仿宋_GB2312" w:hAnsi="仿宋" w:eastAsia="仿宋_GB2312"/>
          <w:color w:val="auto"/>
          <w:sz w:val="32"/>
          <w:szCs w:val="32"/>
        </w:rPr>
        <w:t>、科研院（所）等实际工作部门的专家不少于1人。</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3.答辩委员会设秘书1人，负责学位授予前期准备工作、组织论文答辩以及答辩记录等事宜。</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4.学位论文答辩</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（1）学位申请者本人不得参与论文答辩的组织工作；</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（2）论文答辩一般公开举行，答辩委员会秘书做详细记录；</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（3）论文答辩的程序：</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秘书宣布答辩委员会委员名单；答辩委员会主席主持会议，宣布答辩开始；秘书介绍申请人资格审查情况；申请人报告论文主要内容（时间不超过30分钟）；答辩委员和列席会议人员提问，申请人答辩（一般不少于15分钟）；申请人及列席会议者暂时退场；答辩委员会举行会议，包括宣读论文评阅人意见，对论文进行评议，并就是否通过论文答辩、是否建议授予硕士学位进行表决；申请人及列席者回到会场，答辩委员会主席宣布论文评议及表决结果。</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5.论文答辩委员会表决时，采取不记名投票方式。全体成员三分之二或以上同意视为通过。</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论文答辩未通过者，经答辩委员会半数以上同意，可建议在一个或两个学期内修改论文，重新申请答辩一次。</w:t>
      </w:r>
    </w:p>
    <w:p>
      <w:pPr>
        <w:pStyle w:val="3"/>
        <w:snapToGrid w:val="0"/>
        <w:spacing w:line="540" w:lineRule="exact"/>
        <w:ind w:firstLine="640" w:firstLineChars="200"/>
        <w:jc w:val="left"/>
        <w:rPr>
          <w:rFonts w:ascii="仿宋_GB2312" w:hAnsi="仿宋" w:eastAsia="仿宋_GB2312" w:cstheme="minorBidi"/>
          <w:color w:val="auto"/>
          <w:sz w:val="32"/>
          <w:szCs w:val="32"/>
        </w:rPr>
      </w:pPr>
      <w:r>
        <w:rPr>
          <w:rFonts w:hint="eastAsia" w:ascii="黑体" w:hAnsi="仿宋" w:eastAsia="黑体"/>
          <w:color w:val="auto"/>
          <w:sz w:val="32"/>
          <w:szCs w:val="32"/>
        </w:rPr>
        <w:t>第二十</w:t>
      </w:r>
      <w:r>
        <w:rPr>
          <w:rFonts w:hint="eastAsia" w:ascii="黑体" w:hAnsi="仿宋" w:eastAsia="黑体"/>
          <w:color w:val="auto"/>
          <w:sz w:val="32"/>
          <w:szCs w:val="32"/>
          <w:lang w:val="en-US" w:eastAsia="zh-CN"/>
        </w:rPr>
        <w:t>五</w:t>
      </w:r>
      <w:r>
        <w:rPr>
          <w:rFonts w:hint="eastAsia" w:ascii="黑体" w:hAnsi="仿宋" w:eastAsia="黑体"/>
          <w:color w:val="auto"/>
          <w:sz w:val="32"/>
          <w:szCs w:val="32"/>
        </w:rPr>
        <w:t>条</w:t>
      </w:r>
      <w:r>
        <w:rPr>
          <w:rFonts w:hint="eastAsia" w:ascii="黑体" w:hAnsi="仿宋" w:eastAsia="黑体"/>
          <w:bCs/>
          <w:color w:val="auto"/>
          <w:sz w:val="32"/>
          <w:szCs w:val="32"/>
        </w:rPr>
        <w:t xml:space="preserve">  </w:t>
      </w:r>
      <w:r>
        <w:rPr>
          <w:rFonts w:hint="eastAsia" w:ascii="仿宋_GB2312" w:hAnsi="仿宋" w:eastAsia="仿宋_GB2312" w:cstheme="minorBidi"/>
          <w:color w:val="auto"/>
          <w:sz w:val="32"/>
          <w:szCs w:val="32"/>
        </w:rPr>
        <w:t>硕士学位授予</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1.答辩后一周内，答辩委员会秘书将学位审批书、学位论文、表决票等材料提交给学位评定分委员会。</w:t>
      </w:r>
    </w:p>
    <w:p>
      <w:pPr>
        <w:spacing w:line="540" w:lineRule="exact"/>
        <w:ind w:firstLine="640" w:firstLineChars="200"/>
        <w:rPr>
          <w:color w:val="auto"/>
        </w:rPr>
      </w:pPr>
      <w:r>
        <w:rPr>
          <w:rFonts w:hint="eastAsia" w:ascii="仿宋_GB2312" w:hAnsi="仿宋" w:eastAsia="仿宋_GB2312"/>
          <w:color w:val="auto"/>
          <w:sz w:val="32"/>
          <w:szCs w:val="32"/>
        </w:rPr>
        <w:t>2. 学位评定分委员会以会议的形式，对通过学位论文答辩的申请人的相关材料进行审核，并形成是否建议授予其硕士学位的决议，当作出建议不授予硕士学位的决议时，应说明理由以及进一步处理意见。</w:t>
      </w:r>
    </w:p>
    <w:p>
      <w:pPr>
        <w:snapToGrid w:val="0"/>
        <w:spacing w:line="540" w:lineRule="exact"/>
        <w:ind w:firstLine="576" w:firstLineChars="180"/>
        <w:rPr>
          <w:rFonts w:ascii="仿宋_GB2312" w:hAnsi="仿宋" w:eastAsia="仿宋_GB2312"/>
          <w:color w:val="auto"/>
          <w:sz w:val="32"/>
          <w:szCs w:val="32"/>
        </w:rPr>
      </w:pPr>
      <w:r>
        <w:rPr>
          <w:rFonts w:hint="eastAsia" w:ascii="仿宋_GB2312" w:hAnsi="仿宋" w:eastAsia="仿宋_GB2312"/>
          <w:color w:val="auto"/>
          <w:sz w:val="32"/>
          <w:szCs w:val="32"/>
        </w:rPr>
        <w:t>3.答辩委员会秘书在规定时间内，将学位评定分委员会建议授予硕士学位的决议、硕士学位审批书、学位论文、学位论文大摘要、表决票等材料进行整理，上报校学位办。</w:t>
      </w:r>
    </w:p>
    <w:p>
      <w:pPr>
        <w:snapToGrid w:val="0"/>
        <w:spacing w:line="540" w:lineRule="exact"/>
        <w:ind w:firstLine="627" w:firstLineChars="196"/>
        <w:rPr>
          <w:rFonts w:ascii="仿宋_GB2312" w:hAnsi="仿宋" w:eastAsia="仿宋_GB2312"/>
          <w:color w:val="auto"/>
          <w:sz w:val="32"/>
          <w:szCs w:val="32"/>
        </w:rPr>
      </w:pPr>
      <w:r>
        <w:rPr>
          <w:rFonts w:hint="eastAsia" w:ascii="仿宋_GB2312" w:hAnsi="仿宋" w:eastAsia="仿宋_GB2312"/>
          <w:color w:val="auto"/>
          <w:sz w:val="32"/>
          <w:szCs w:val="32"/>
        </w:rPr>
        <w:t>4.校学位办对学位申请人的申请材料进行审核，合格者提交校学位评定委员会。</w:t>
      </w:r>
    </w:p>
    <w:p>
      <w:pPr>
        <w:snapToGrid w:val="0"/>
        <w:spacing w:line="540" w:lineRule="exact"/>
        <w:ind w:firstLine="576" w:firstLineChars="180"/>
        <w:rPr>
          <w:rFonts w:ascii="仿宋_GB2312" w:hAnsi="仿宋" w:eastAsia="仿宋_GB2312"/>
          <w:color w:val="auto"/>
          <w:sz w:val="32"/>
          <w:szCs w:val="32"/>
        </w:rPr>
      </w:pPr>
      <w:r>
        <w:rPr>
          <w:rFonts w:hint="eastAsia" w:ascii="仿宋_GB2312" w:hAnsi="仿宋" w:eastAsia="仿宋_GB2312"/>
          <w:color w:val="auto"/>
          <w:sz w:val="32"/>
          <w:szCs w:val="32"/>
        </w:rPr>
        <w:t>5.校学位评定委员会应以会议的形式，采取无记名投票的方式进行表决，</w:t>
      </w:r>
      <w:r>
        <w:rPr>
          <w:rFonts w:hint="eastAsia" w:ascii="仿宋_GB2312" w:hAnsi="仿宋" w:eastAsia="仿宋_GB2312"/>
          <w:color w:val="auto"/>
          <w:sz w:val="32"/>
          <w:szCs w:val="32"/>
          <w:lang w:val="en-US" w:eastAsia="zh-CN"/>
        </w:rPr>
        <w:t>作</w:t>
      </w:r>
      <w:r>
        <w:rPr>
          <w:rFonts w:hint="eastAsia" w:ascii="仿宋_GB2312" w:hAnsi="仿宋" w:eastAsia="仿宋_GB2312"/>
          <w:color w:val="auto"/>
          <w:sz w:val="32"/>
          <w:szCs w:val="32"/>
        </w:rPr>
        <w:t>出是否授予硕士学位的决定。</w:t>
      </w:r>
    </w:p>
    <w:p>
      <w:pPr>
        <w:snapToGrid w:val="0"/>
        <w:spacing w:line="540" w:lineRule="exact"/>
        <w:ind w:firstLine="576" w:firstLineChars="180"/>
        <w:rPr>
          <w:rFonts w:ascii="仿宋_GB2312" w:hAnsi="仿宋" w:eastAsia="仿宋_GB2312"/>
          <w:color w:val="auto"/>
          <w:sz w:val="32"/>
          <w:szCs w:val="32"/>
        </w:rPr>
      </w:pPr>
      <w:r>
        <w:rPr>
          <w:rFonts w:hint="eastAsia" w:ascii="仿宋_GB2312" w:hAnsi="仿宋" w:eastAsia="仿宋_GB2312"/>
          <w:color w:val="auto"/>
          <w:sz w:val="32"/>
          <w:szCs w:val="32"/>
        </w:rPr>
        <w:t>6.研究生部组织举行硕士学位授予仪式，根据校学位评定委员会决定授予的硕士学位名单，颁发硕士学位证书。</w:t>
      </w:r>
    </w:p>
    <w:p>
      <w:pPr>
        <w:snapToGrid w:val="0"/>
        <w:spacing w:line="540" w:lineRule="exact"/>
        <w:ind w:firstLine="640" w:firstLineChars="200"/>
        <w:rPr>
          <w:rFonts w:ascii="仿宋_GB2312" w:hAnsi="宋体" w:eastAsia="仿宋_GB2312"/>
          <w:color w:val="auto"/>
          <w:sz w:val="32"/>
        </w:rPr>
      </w:pPr>
      <w:r>
        <w:rPr>
          <w:rFonts w:hint="eastAsia" w:ascii="仿宋_GB2312" w:hAnsi="仿宋" w:eastAsia="仿宋_GB2312"/>
          <w:color w:val="auto"/>
          <w:sz w:val="32"/>
          <w:szCs w:val="32"/>
        </w:rPr>
        <w:t>7.研究生部</w:t>
      </w:r>
      <w:r>
        <w:rPr>
          <w:rFonts w:hint="eastAsia" w:ascii="仿宋_GB2312" w:hAnsi="宋体" w:eastAsia="仿宋_GB2312"/>
          <w:color w:val="auto"/>
          <w:sz w:val="32"/>
        </w:rPr>
        <w:t>印制硕士学位证明，校学位评定委员会盖章后装入学生本人档案。</w:t>
      </w:r>
    </w:p>
    <w:p>
      <w:pPr>
        <w:adjustRightInd w:val="0"/>
        <w:snapToGrid w:val="0"/>
        <w:spacing w:line="540" w:lineRule="exact"/>
        <w:ind w:firstLine="640" w:firstLineChars="200"/>
        <w:rPr>
          <w:rFonts w:ascii="仿宋_GB2312" w:hAnsi="宋体" w:eastAsia="仿宋_GB2312"/>
          <w:color w:val="auto"/>
          <w:sz w:val="32"/>
        </w:rPr>
      </w:pPr>
      <w:r>
        <w:rPr>
          <w:rFonts w:hint="eastAsia" w:ascii="黑体" w:hAnsi="仿宋" w:eastAsia="黑体"/>
          <w:color w:val="auto"/>
          <w:sz w:val="32"/>
          <w:szCs w:val="32"/>
        </w:rPr>
        <w:t>第二十</w:t>
      </w:r>
      <w:r>
        <w:rPr>
          <w:rFonts w:hint="eastAsia" w:ascii="黑体" w:hAnsi="仿宋" w:eastAsia="黑体"/>
          <w:color w:val="auto"/>
          <w:sz w:val="32"/>
          <w:szCs w:val="32"/>
          <w:lang w:val="en-US" w:eastAsia="zh-CN"/>
        </w:rPr>
        <w:t>六</w:t>
      </w:r>
      <w:r>
        <w:rPr>
          <w:rFonts w:hint="eastAsia" w:ascii="黑体" w:hAnsi="仿宋" w:eastAsia="黑体"/>
          <w:color w:val="auto"/>
          <w:sz w:val="32"/>
          <w:szCs w:val="32"/>
        </w:rPr>
        <w:t>条</w:t>
      </w:r>
      <w:r>
        <w:rPr>
          <w:rFonts w:hint="eastAsia" w:ascii="仿宋_GB2312" w:hAnsi="仿宋" w:eastAsia="仿宋_GB2312"/>
          <w:color w:val="auto"/>
          <w:sz w:val="32"/>
          <w:szCs w:val="32"/>
        </w:rPr>
        <w:t xml:space="preserve">  </w:t>
      </w:r>
      <w:r>
        <w:rPr>
          <w:rFonts w:hint="eastAsia" w:ascii="仿宋_GB2312" w:hAnsi="宋体" w:eastAsia="仿宋_GB2312"/>
          <w:color w:val="auto"/>
          <w:sz w:val="32"/>
        </w:rPr>
        <w:t>有下列情形之一者，不授予硕士学位:</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1.不符合本细则第十九条者。</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2.严重违反《河北科技师范学院学术道德规范》和《河北科技师范学院关于对学位授予工作中舞弊作伪行为及相关人员的处理办法》中的相关规定，在学术活动、学位授予中弄虚作假的。</w:t>
      </w:r>
    </w:p>
    <w:p>
      <w:pPr>
        <w:snapToGrid w:val="0"/>
        <w:spacing w:line="54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3.修改后的论文在第二次答辩中仍未通过者。</w:t>
      </w:r>
    </w:p>
    <w:p>
      <w:pPr>
        <w:snapToGrid w:val="0"/>
        <w:spacing w:line="540" w:lineRule="exact"/>
        <w:ind w:firstLine="576" w:firstLineChars="180"/>
        <w:rPr>
          <w:rFonts w:ascii="仿宋_GB2312" w:hAnsi="仿宋" w:eastAsia="仿宋_GB2312"/>
          <w:color w:val="auto"/>
          <w:sz w:val="32"/>
          <w:szCs w:val="32"/>
        </w:rPr>
      </w:pPr>
      <w:r>
        <w:rPr>
          <w:rFonts w:hint="eastAsia" w:ascii="黑体" w:hAnsi="仿宋" w:eastAsia="黑体"/>
          <w:color w:val="auto"/>
          <w:sz w:val="32"/>
          <w:szCs w:val="32"/>
        </w:rPr>
        <w:t xml:space="preserve"> 第二十</w:t>
      </w:r>
      <w:r>
        <w:rPr>
          <w:rFonts w:hint="eastAsia" w:ascii="黑体" w:hAnsi="仿宋" w:eastAsia="黑体"/>
          <w:color w:val="auto"/>
          <w:sz w:val="32"/>
          <w:szCs w:val="32"/>
          <w:lang w:val="en-US" w:eastAsia="zh-CN"/>
        </w:rPr>
        <w:t>七</w:t>
      </w:r>
      <w:r>
        <w:rPr>
          <w:rFonts w:hint="eastAsia" w:ascii="黑体" w:hAnsi="仿宋" w:eastAsia="黑体"/>
          <w:color w:val="auto"/>
          <w:sz w:val="32"/>
          <w:szCs w:val="32"/>
        </w:rPr>
        <w:t xml:space="preserve">条 </w:t>
      </w:r>
      <w:r>
        <w:rPr>
          <w:rFonts w:hint="eastAsia" w:ascii="仿宋_GB2312" w:hAnsi="仿宋" w:eastAsia="仿宋_GB2312"/>
          <w:color w:val="auto"/>
          <w:sz w:val="32"/>
          <w:szCs w:val="32"/>
        </w:rPr>
        <w:t xml:space="preserve"> 研究生论文答辩费用从研究生教育经费中支付。费用包括：聘请外单位专家参加答辩时的住宿、交通费用；论文答辩劳务费；其他有关的必需费用。</w:t>
      </w:r>
    </w:p>
    <w:p>
      <w:pPr>
        <w:pStyle w:val="3"/>
        <w:snapToGrid w:val="0"/>
        <w:spacing w:line="540" w:lineRule="exact"/>
        <w:jc w:val="center"/>
        <w:rPr>
          <w:rFonts w:ascii="黑体" w:hAnsi="仿宋" w:eastAsia="黑体"/>
          <w:bCs/>
          <w:color w:val="auto"/>
          <w:sz w:val="32"/>
          <w:szCs w:val="32"/>
        </w:rPr>
      </w:pPr>
    </w:p>
    <w:p>
      <w:pPr>
        <w:pStyle w:val="3"/>
        <w:snapToGrid w:val="0"/>
        <w:spacing w:line="540" w:lineRule="exact"/>
        <w:jc w:val="center"/>
        <w:rPr>
          <w:rFonts w:ascii="黑体" w:hAnsi="仿宋" w:eastAsia="黑体"/>
          <w:bCs/>
          <w:color w:val="auto"/>
          <w:sz w:val="32"/>
          <w:szCs w:val="32"/>
        </w:rPr>
      </w:pPr>
      <w:r>
        <w:rPr>
          <w:rFonts w:hint="eastAsia" w:ascii="黑体" w:hAnsi="仿宋" w:eastAsia="黑体"/>
          <w:bCs/>
          <w:color w:val="auto"/>
          <w:sz w:val="32"/>
          <w:szCs w:val="32"/>
        </w:rPr>
        <w:t>第五章 异议处理</w:t>
      </w:r>
    </w:p>
    <w:p>
      <w:pPr>
        <w:snapToGrid w:val="0"/>
        <w:spacing w:line="540" w:lineRule="exact"/>
        <w:ind w:firstLine="576" w:firstLineChars="180"/>
        <w:rPr>
          <w:rFonts w:ascii="仿宋_GB2312" w:hAnsi="仿宋" w:eastAsia="仿宋_GB2312"/>
          <w:color w:val="auto"/>
          <w:sz w:val="32"/>
          <w:szCs w:val="32"/>
        </w:rPr>
      </w:pPr>
      <w:r>
        <w:rPr>
          <w:rFonts w:hint="eastAsia" w:ascii="黑体" w:hAnsi="仿宋" w:eastAsia="黑体"/>
          <w:color w:val="auto"/>
          <w:sz w:val="32"/>
          <w:szCs w:val="32"/>
        </w:rPr>
        <w:t>第二十</w:t>
      </w:r>
      <w:r>
        <w:rPr>
          <w:rFonts w:hint="eastAsia" w:ascii="黑体" w:hAnsi="仿宋" w:eastAsia="黑体"/>
          <w:color w:val="auto"/>
          <w:sz w:val="32"/>
          <w:szCs w:val="32"/>
          <w:lang w:val="en-US" w:eastAsia="zh-CN"/>
        </w:rPr>
        <w:t>八</w:t>
      </w:r>
      <w:r>
        <w:rPr>
          <w:rFonts w:hint="eastAsia" w:ascii="黑体" w:hAnsi="仿宋" w:eastAsia="黑体"/>
          <w:color w:val="auto"/>
          <w:sz w:val="32"/>
          <w:szCs w:val="32"/>
        </w:rPr>
        <w:t>条</w:t>
      </w:r>
      <w:r>
        <w:rPr>
          <w:rFonts w:hint="eastAsia" w:ascii="仿宋_GB2312" w:hAnsi="仿宋" w:eastAsia="仿宋_GB2312"/>
          <w:color w:val="auto"/>
          <w:sz w:val="32"/>
          <w:szCs w:val="32"/>
        </w:rPr>
        <w:t xml:space="preserve">  在学位授予各环节中，对经审查不符合学位授予条件或对已获学位依法撤销其学位的学生，学位评定委员会或学位评定分委员会要以告知书形式告知其相关结果和原因，由学位评定分委员会负责直接送达学生本人。学生拒绝签收的，可以以学校指定的不少于两人签字认定的留置方式送达；已经离校的，可以采取邮寄方式送达，邮寄送达的，以回执注明的收件日期为送达日期；难于联系的，可以通过学校网站、新闻媒体以公告方式送达，自公布之日起经过30日，视为送达。学生对学位授予、撤销过程及结果有异议的，可在收到通知的10个工作日内提出书面复议申请。</w:t>
      </w:r>
    </w:p>
    <w:p>
      <w:pPr>
        <w:snapToGrid w:val="0"/>
        <w:spacing w:line="540" w:lineRule="exact"/>
        <w:ind w:firstLine="579" w:firstLineChars="181"/>
        <w:rPr>
          <w:rFonts w:ascii="仿宋_GB2312" w:hAnsi="仿宋" w:eastAsia="仿宋_GB2312"/>
          <w:color w:val="auto"/>
          <w:sz w:val="32"/>
          <w:szCs w:val="32"/>
        </w:rPr>
      </w:pPr>
      <w:r>
        <w:rPr>
          <w:rFonts w:hint="eastAsia" w:ascii="黑体" w:hAnsi="仿宋" w:eastAsia="黑体"/>
          <w:color w:val="auto"/>
          <w:sz w:val="32"/>
          <w:szCs w:val="32"/>
        </w:rPr>
        <w:t>第二十</w:t>
      </w:r>
      <w:r>
        <w:rPr>
          <w:rFonts w:hint="eastAsia" w:ascii="黑体" w:hAnsi="仿宋" w:eastAsia="黑体"/>
          <w:color w:val="auto"/>
          <w:sz w:val="32"/>
          <w:szCs w:val="32"/>
          <w:lang w:val="en-US" w:eastAsia="zh-CN"/>
        </w:rPr>
        <w:t>九</w:t>
      </w:r>
      <w:r>
        <w:rPr>
          <w:rFonts w:hint="eastAsia" w:ascii="黑体" w:hAnsi="仿宋" w:eastAsia="黑体"/>
          <w:color w:val="auto"/>
          <w:sz w:val="32"/>
          <w:szCs w:val="32"/>
        </w:rPr>
        <w:t>条</w:t>
      </w:r>
      <w:r>
        <w:rPr>
          <w:rFonts w:hint="eastAsia" w:ascii="仿宋_GB2312" w:hAnsi="仿宋" w:eastAsia="仿宋_GB2312"/>
          <w:b/>
          <w:color w:val="auto"/>
          <w:sz w:val="32"/>
          <w:szCs w:val="32"/>
          <w:lang w:val="en-US" w:eastAsia="zh-CN"/>
        </w:rPr>
        <w:t xml:space="preserve">  </w:t>
      </w:r>
      <w:r>
        <w:rPr>
          <w:rFonts w:hint="eastAsia" w:ascii="仿宋_GB2312" w:hAnsi="仿宋" w:eastAsia="仿宋_GB2312"/>
          <w:color w:val="auto"/>
          <w:sz w:val="32"/>
          <w:szCs w:val="32"/>
        </w:rPr>
        <w:t>学士学位复议</w:t>
      </w:r>
    </w:p>
    <w:p>
      <w:pPr>
        <w:snapToGrid w:val="0"/>
        <w:spacing w:line="540" w:lineRule="exact"/>
        <w:ind w:firstLine="576" w:firstLineChars="180"/>
        <w:rPr>
          <w:rFonts w:ascii="仿宋_GB2312" w:hAnsi="仿宋" w:eastAsia="仿宋_GB2312"/>
          <w:color w:val="auto"/>
          <w:sz w:val="32"/>
          <w:szCs w:val="32"/>
        </w:rPr>
      </w:pPr>
      <w:r>
        <w:rPr>
          <w:rFonts w:hint="eastAsia" w:ascii="仿宋_GB2312" w:hAnsi="仿宋" w:eastAsia="仿宋_GB2312"/>
          <w:color w:val="auto"/>
          <w:sz w:val="32"/>
          <w:szCs w:val="32"/>
        </w:rPr>
        <w:t>学生对学士学位授予、撤销过程中的处理或决定有异议的，可以向教务处提出书面复议申请，由教务处组织相关人员成立评议小组进行评议，并将评议结果报校学位评定委员会主席会议评定。</w:t>
      </w:r>
    </w:p>
    <w:p>
      <w:pPr>
        <w:snapToGrid w:val="0"/>
        <w:spacing w:line="540" w:lineRule="exact"/>
        <w:ind w:firstLine="576" w:firstLineChars="180"/>
        <w:rPr>
          <w:rFonts w:ascii="仿宋_GB2312" w:hAnsi="仿宋" w:eastAsia="仿宋_GB2312"/>
          <w:color w:val="auto"/>
          <w:sz w:val="32"/>
          <w:szCs w:val="32"/>
        </w:rPr>
      </w:pPr>
      <w:r>
        <w:rPr>
          <w:rFonts w:hint="eastAsia" w:ascii="黑体" w:hAnsi="仿宋" w:eastAsia="黑体"/>
          <w:color w:val="auto"/>
          <w:sz w:val="32"/>
          <w:szCs w:val="32"/>
        </w:rPr>
        <w:t>第</w:t>
      </w:r>
      <w:r>
        <w:rPr>
          <w:rFonts w:hint="eastAsia" w:ascii="黑体" w:hAnsi="仿宋" w:eastAsia="黑体"/>
          <w:color w:val="auto"/>
          <w:sz w:val="32"/>
          <w:szCs w:val="32"/>
          <w:lang w:val="en-US" w:eastAsia="zh-CN"/>
        </w:rPr>
        <w:t>三十</w:t>
      </w:r>
      <w:r>
        <w:rPr>
          <w:rFonts w:hint="eastAsia" w:ascii="黑体" w:hAnsi="仿宋" w:eastAsia="黑体"/>
          <w:color w:val="auto"/>
          <w:sz w:val="32"/>
          <w:szCs w:val="32"/>
        </w:rPr>
        <w:t>条</w:t>
      </w:r>
      <w:r>
        <w:rPr>
          <w:rFonts w:hint="eastAsia" w:ascii="仿宋_GB2312" w:hAnsi="仿宋" w:eastAsia="仿宋_GB2312"/>
          <w:b/>
          <w:color w:val="auto"/>
          <w:sz w:val="32"/>
          <w:szCs w:val="32"/>
        </w:rPr>
        <w:t xml:space="preserve">  </w:t>
      </w:r>
      <w:r>
        <w:rPr>
          <w:rFonts w:hint="eastAsia" w:ascii="仿宋_GB2312" w:hAnsi="仿宋" w:eastAsia="仿宋_GB2312"/>
          <w:color w:val="auto"/>
          <w:sz w:val="32"/>
          <w:szCs w:val="32"/>
        </w:rPr>
        <w:t>硕士学位复议</w:t>
      </w:r>
    </w:p>
    <w:p>
      <w:pPr>
        <w:snapToGrid w:val="0"/>
        <w:spacing w:line="540" w:lineRule="exact"/>
        <w:ind w:firstLine="576" w:firstLineChars="180"/>
        <w:rPr>
          <w:rFonts w:ascii="仿宋_GB2312" w:eastAsia="仿宋_GB2312"/>
          <w:color w:val="auto"/>
          <w:kern w:val="0"/>
          <w:sz w:val="32"/>
          <w:szCs w:val="32"/>
        </w:rPr>
      </w:pPr>
      <w:r>
        <w:rPr>
          <w:rFonts w:hint="eastAsia" w:ascii="仿宋_GB2312" w:eastAsia="仿宋_GB2312"/>
          <w:color w:val="auto"/>
          <w:kern w:val="0"/>
          <w:sz w:val="32"/>
          <w:szCs w:val="32"/>
        </w:rPr>
        <w:t>研究生对硕士学位授予、撤销过程中的处理或决定有异议的，可以按下列情况提出</w:t>
      </w:r>
      <w:r>
        <w:rPr>
          <w:rFonts w:hint="eastAsia" w:ascii="仿宋_GB2312" w:hAnsi="仿宋" w:eastAsia="仿宋_GB2312"/>
          <w:color w:val="auto"/>
          <w:sz w:val="32"/>
          <w:szCs w:val="32"/>
        </w:rPr>
        <w:t>复议申请</w:t>
      </w:r>
      <w:r>
        <w:rPr>
          <w:rFonts w:hint="eastAsia" w:ascii="仿宋_GB2312" w:eastAsia="仿宋_GB2312"/>
          <w:color w:val="auto"/>
          <w:kern w:val="0"/>
          <w:sz w:val="32"/>
          <w:szCs w:val="32"/>
        </w:rPr>
        <w:t>。</w:t>
      </w:r>
    </w:p>
    <w:p>
      <w:pPr>
        <w:snapToGrid w:val="0"/>
        <w:spacing w:line="540" w:lineRule="exact"/>
        <w:ind w:firstLine="576" w:firstLineChars="180"/>
        <w:rPr>
          <w:rFonts w:ascii="仿宋_GB2312" w:hAnsi="仿宋" w:eastAsia="仿宋_GB2312"/>
          <w:color w:val="auto"/>
          <w:sz w:val="32"/>
          <w:szCs w:val="32"/>
        </w:rPr>
      </w:pPr>
      <w:r>
        <w:rPr>
          <w:rFonts w:hint="eastAsia" w:ascii="仿宋_GB2312" w:hAnsi="仿宋" w:eastAsia="仿宋_GB2312"/>
          <w:color w:val="auto"/>
          <w:sz w:val="32"/>
          <w:szCs w:val="32"/>
        </w:rPr>
        <w:t>1.对资格审查结果有异议的。研究生对资格审查结果有异议的，可向学位评定分委员会提出书面复议申请，由学位评定分委员会进行复议，并将复议结果报校学位办备案。</w:t>
      </w:r>
    </w:p>
    <w:p>
      <w:pPr>
        <w:snapToGrid w:val="0"/>
        <w:spacing w:line="540" w:lineRule="exact"/>
        <w:ind w:firstLine="576" w:firstLineChars="180"/>
        <w:rPr>
          <w:rFonts w:ascii="仿宋_GB2312" w:hAnsi="仿宋" w:eastAsia="仿宋_GB2312"/>
          <w:color w:val="auto"/>
          <w:sz w:val="32"/>
          <w:szCs w:val="32"/>
        </w:rPr>
      </w:pPr>
      <w:r>
        <w:rPr>
          <w:rFonts w:hint="eastAsia" w:ascii="仿宋_GB2312" w:hAnsi="仿宋" w:eastAsia="仿宋_GB2312"/>
          <w:color w:val="auto"/>
          <w:sz w:val="32"/>
          <w:szCs w:val="32"/>
        </w:rPr>
        <w:t>2.对学位论文检测结果有异议的。研究生对学位论文检测结果有异议的，可向校学位办提出书面复议申请，校学位办将详细检测结果转交学位评定分委员会，学位评定分委员会组织学科相关教师对论文检测详细报告进行评议，并将评议结果报校学位办备案。</w:t>
      </w:r>
    </w:p>
    <w:p>
      <w:pPr>
        <w:snapToGrid w:val="0"/>
        <w:spacing w:line="540" w:lineRule="exact"/>
        <w:ind w:firstLine="576" w:firstLineChars="180"/>
        <w:rPr>
          <w:rFonts w:ascii="仿宋_GB2312" w:hAnsi="仿宋" w:eastAsia="仿宋_GB2312"/>
          <w:color w:val="auto"/>
          <w:sz w:val="32"/>
          <w:szCs w:val="32"/>
        </w:rPr>
      </w:pPr>
      <w:r>
        <w:rPr>
          <w:rFonts w:hint="eastAsia" w:ascii="仿宋_GB2312" w:hAnsi="仿宋" w:eastAsia="仿宋_GB2312"/>
          <w:color w:val="auto"/>
          <w:sz w:val="32"/>
          <w:szCs w:val="32"/>
        </w:rPr>
        <w:t>3.对学位论文评阅结果有异议的。研究生对学位论文评阅结果有异议的，可向校学位办提出书面复议申请，校学位办将学位论文及评阅书一并转交学位评定分委员会进行复议，如学位评定分委员会认为原评阅结果基本客观、准确，则维持原评阅结果；如学位评定分委员会认为原评阅结果争议较大，则应提请校学位办再送审2～3位校外专家，连同原评阅专家共5位专家中，如有3位专家认为论文达到硕士学位论文水平，则可以进入答辩环节；否则，不能参加答辩。</w:t>
      </w:r>
    </w:p>
    <w:p>
      <w:pPr>
        <w:snapToGrid w:val="0"/>
        <w:spacing w:line="540" w:lineRule="exact"/>
        <w:ind w:firstLine="576" w:firstLineChars="180"/>
        <w:rPr>
          <w:rFonts w:ascii="仿宋_GB2312" w:hAnsi="仿宋" w:eastAsia="仿宋_GB2312"/>
          <w:color w:val="auto"/>
          <w:sz w:val="32"/>
          <w:szCs w:val="32"/>
        </w:rPr>
      </w:pPr>
      <w:r>
        <w:rPr>
          <w:rFonts w:hint="eastAsia" w:ascii="仿宋_GB2312" w:hAnsi="仿宋" w:eastAsia="仿宋_GB2312"/>
          <w:color w:val="auto"/>
          <w:sz w:val="32"/>
          <w:szCs w:val="32"/>
        </w:rPr>
        <w:t>4.对学位论文答辩结果有异议的。研究生对学位论文答辩结果有异议的，可向校学位办和学位评定分委员会提出书面复议申请，校学位办负责对答辩委员会组成及答辩程序合法合规性进行调查核实，如答辩委员会组成或答辩程序不符合要求，则重新答辩；如答辩委员会组成及答辩程序符合要求，则由学位评定分委员会负责具体调查工作，并将学位论文和答辩决议送交2名校外专家复议，复议中，1名专家对答辩委员会决议有异议，应再送审1名专家。校外专家评审结果返回后，学位评定分委员会召开会议就是否同意答辩委员会决议进行表决，并将评议结果报校学位办备案。</w:t>
      </w:r>
    </w:p>
    <w:p>
      <w:pPr>
        <w:snapToGrid w:val="0"/>
        <w:spacing w:line="540" w:lineRule="exact"/>
        <w:ind w:firstLine="576" w:firstLineChars="180"/>
        <w:rPr>
          <w:rFonts w:ascii="仿宋_GB2312" w:hAnsi="仿宋" w:eastAsia="仿宋_GB2312"/>
          <w:color w:val="auto"/>
          <w:sz w:val="32"/>
          <w:szCs w:val="32"/>
        </w:rPr>
      </w:pPr>
      <w:r>
        <w:rPr>
          <w:rFonts w:hint="eastAsia" w:ascii="仿宋_GB2312" w:hAnsi="仿宋" w:eastAsia="仿宋_GB2312"/>
          <w:color w:val="auto"/>
          <w:sz w:val="32"/>
          <w:szCs w:val="32"/>
        </w:rPr>
        <w:t>5.其他情况。研究生可以向校学位办提出书面复议申请，由校学位办提请校学位评定委员会主席会议处理。</w:t>
      </w:r>
    </w:p>
    <w:p>
      <w:pPr>
        <w:snapToGrid w:val="0"/>
        <w:spacing w:line="540" w:lineRule="exact"/>
        <w:ind w:firstLine="576" w:firstLineChars="180"/>
        <w:rPr>
          <w:rFonts w:ascii="仿宋_GB2312" w:hAnsi="仿宋" w:eastAsia="仿宋_GB2312"/>
          <w:color w:val="auto"/>
          <w:sz w:val="32"/>
          <w:szCs w:val="32"/>
        </w:rPr>
      </w:pPr>
      <w:r>
        <w:rPr>
          <w:rFonts w:hint="eastAsia" w:ascii="仿宋_GB2312" w:hAnsi="仿宋" w:eastAsia="仿宋_GB2312"/>
          <w:color w:val="auto"/>
          <w:sz w:val="32"/>
          <w:szCs w:val="32"/>
        </w:rPr>
        <w:t>6.凡涉及研究生申请复议的情况，校学位办均应在当次校学位评定委员会会议上向委员汇报。</w:t>
      </w:r>
    </w:p>
    <w:p>
      <w:pPr>
        <w:snapToGrid w:val="0"/>
        <w:spacing w:line="540" w:lineRule="exact"/>
        <w:ind w:firstLine="576" w:firstLineChars="180"/>
        <w:rPr>
          <w:rFonts w:ascii="仿宋_GB2312" w:hAnsi="仿宋" w:eastAsia="仿宋_GB2312"/>
          <w:color w:val="auto"/>
          <w:sz w:val="32"/>
          <w:szCs w:val="32"/>
        </w:rPr>
      </w:pPr>
      <w:r>
        <w:rPr>
          <w:rFonts w:hint="eastAsia" w:ascii="黑体" w:hAnsi="仿宋" w:eastAsia="黑体"/>
          <w:color w:val="auto"/>
          <w:sz w:val="32"/>
          <w:szCs w:val="32"/>
        </w:rPr>
        <w:t>第三十</w:t>
      </w:r>
      <w:r>
        <w:rPr>
          <w:rFonts w:hint="eastAsia" w:ascii="黑体" w:hAnsi="仿宋" w:eastAsia="黑体"/>
          <w:color w:val="auto"/>
          <w:sz w:val="32"/>
          <w:szCs w:val="32"/>
          <w:lang w:val="en-US" w:eastAsia="zh-CN"/>
        </w:rPr>
        <w:t>一</w:t>
      </w:r>
      <w:r>
        <w:rPr>
          <w:rFonts w:hint="eastAsia" w:ascii="黑体" w:hAnsi="仿宋" w:eastAsia="黑体"/>
          <w:color w:val="auto"/>
          <w:sz w:val="32"/>
          <w:szCs w:val="32"/>
        </w:rPr>
        <w:t>条</w:t>
      </w:r>
      <w:r>
        <w:rPr>
          <w:rFonts w:hint="eastAsia" w:ascii="仿宋_GB2312" w:hAnsi="仿宋" w:eastAsia="仿宋_GB2312"/>
          <w:b/>
          <w:color w:val="auto"/>
          <w:sz w:val="32"/>
          <w:szCs w:val="32"/>
        </w:rPr>
        <w:t xml:space="preserve">  </w:t>
      </w:r>
      <w:r>
        <w:rPr>
          <w:rFonts w:hint="eastAsia" w:ascii="仿宋_GB2312" w:hAnsi="仿宋" w:eastAsia="仿宋_GB2312"/>
          <w:color w:val="auto"/>
          <w:sz w:val="32"/>
          <w:szCs w:val="32"/>
        </w:rPr>
        <w:t>经过复议，学生对处理结果仍有异议的，可以按照《河北科技师范学院学生校内申诉暂行规定（修订）》进行申诉。</w:t>
      </w:r>
    </w:p>
    <w:p>
      <w:pPr>
        <w:pStyle w:val="3"/>
        <w:snapToGrid w:val="0"/>
        <w:spacing w:line="540" w:lineRule="exact"/>
        <w:jc w:val="center"/>
        <w:rPr>
          <w:rFonts w:ascii="黑体" w:hAnsi="仿宋" w:eastAsia="黑体"/>
          <w:bCs/>
          <w:color w:val="auto"/>
          <w:sz w:val="32"/>
          <w:szCs w:val="32"/>
        </w:rPr>
      </w:pPr>
    </w:p>
    <w:p>
      <w:pPr>
        <w:pStyle w:val="3"/>
        <w:snapToGrid w:val="0"/>
        <w:spacing w:line="540" w:lineRule="exact"/>
        <w:jc w:val="center"/>
        <w:rPr>
          <w:rFonts w:ascii="黑体" w:hAnsi="仿宋" w:eastAsia="黑体"/>
          <w:bCs/>
          <w:color w:val="auto"/>
          <w:sz w:val="32"/>
          <w:szCs w:val="32"/>
        </w:rPr>
      </w:pPr>
      <w:r>
        <w:rPr>
          <w:rFonts w:hint="eastAsia" w:ascii="黑体" w:hAnsi="仿宋" w:eastAsia="黑体"/>
          <w:bCs/>
          <w:color w:val="auto"/>
          <w:sz w:val="32"/>
          <w:szCs w:val="32"/>
        </w:rPr>
        <w:t>第六章 其他</w:t>
      </w:r>
    </w:p>
    <w:p>
      <w:pPr>
        <w:snapToGrid w:val="0"/>
        <w:spacing w:line="540" w:lineRule="exact"/>
        <w:ind w:firstLine="640" w:firstLineChars="200"/>
        <w:rPr>
          <w:rFonts w:ascii="仿宋_GB2312" w:hAnsi="仿宋" w:eastAsia="仿宋_GB2312"/>
          <w:color w:val="auto"/>
          <w:sz w:val="32"/>
          <w:szCs w:val="32"/>
        </w:rPr>
      </w:pPr>
      <w:r>
        <w:rPr>
          <w:rFonts w:hint="eastAsia" w:ascii="黑体" w:hAnsi="仿宋" w:eastAsia="黑体"/>
          <w:color w:val="auto"/>
          <w:sz w:val="32"/>
          <w:szCs w:val="32"/>
        </w:rPr>
        <w:t>第三十</w:t>
      </w:r>
      <w:r>
        <w:rPr>
          <w:rFonts w:hint="eastAsia" w:ascii="黑体" w:hAnsi="仿宋" w:eastAsia="黑体"/>
          <w:color w:val="auto"/>
          <w:sz w:val="32"/>
          <w:szCs w:val="32"/>
          <w:lang w:val="en-US" w:eastAsia="zh-CN"/>
        </w:rPr>
        <w:t>二</w:t>
      </w:r>
      <w:r>
        <w:rPr>
          <w:rFonts w:hint="eastAsia" w:ascii="黑体" w:hAnsi="仿宋" w:eastAsia="黑体"/>
          <w:color w:val="auto"/>
          <w:sz w:val="32"/>
          <w:szCs w:val="32"/>
        </w:rPr>
        <w:t>条</w:t>
      </w:r>
      <w:r>
        <w:rPr>
          <w:rFonts w:hint="eastAsia" w:ascii="仿宋_GB2312" w:hAnsi="仿宋" w:eastAsia="仿宋_GB2312"/>
          <w:color w:val="auto"/>
          <w:sz w:val="32"/>
          <w:szCs w:val="32"/>
        </w:rPr>
        <w:t xml:space="preserve">  学校分别在每学年第一学期末和第二学期末组织两次学位评定委员会，审核建议授予学位名单。</w:t>
      </w:r>
    </w:p>
    <w:p>
      <w:pPr>
        <w:snapToGrid w:val="0"/>
        <w:spacing w:line="540" w:lineRule="exact"/>
        <w:ind w:firstLine="576" w:firstLineChars="180"/>
        <w:rPr>
          <w:rFonts w:ascii="仿宋_GB2312" w:hAnsi="仿宋" w:eastAsia="仿宋_GB2312"/>
          <w:color w:val="auto"/>
          <w:sz w:val="32"/>
          <w:szCs w:val="32"/>
        </w:rPr>
      </w:pPr>
      <w:r>
        <w:rPr>
          <w:rFonts w:hint="eastAsia" w:ascii="黑体" w:hAnsi="仿宋" w:eastAsia="黑体"/>
          <w:color w:val="auto"/>
          <w:sz w:val="32"/>
          <w:szCs w:val="32"/>
        </w:rPr>
        <w:t>第三十</w:t>
      </w:r>
      <w:r>
        <w:rPr>
          <w:rFonts w:hint="eastAsia" w:ascii="黑体" w:hAnsi="仿宋" w:eastAsia="黑体"/>
          <w:color w:val="auto"/>
          <w:sz w:val="32"/>
          <w:szCs w:val="32"/>
          <w:lang w:val="en-US" w:eastAsia="zh-CN"/>
        </w:rPr>
        <w:t>三</w:t>
      </w:r>
      <w:r>
        <w:rPr>
          <w:rFonts w:hint="eastAsia" w:ascii="黑体" w:hAnsi="仿宋" w:eastAsia="黑体"/>
          <w:color w:val="auto"/>
          <w:sz w:val="32"/>
          <w:szCs w:val="32"/>
        </w:rPr>
        <w:t>条</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对已经授予的学位，如发现有舞弊等问题，按照《河北科技师范学院关于对学位授予工作中舞弊作伪行为及相关人员的处理办法》的相关规定进行处理。</w:t>
      </w:r>
    </w:p>
    <w:p>
      <w:pPr>
        <w:snapToGrid w:val="0"/>
        <w:spacing w:line="540" w:lineRule="exact"/>
        <w:ind w:firstLine="640" w:firstLineChars="200"/>
        <w:rPr>
          <w:rFonts w:ascii="仿宋_GB2312" w:hAnsi="宋体" w:eastAsia="仿宋_GB2312"/>
          <w:color w:val="auto"/>
          <w:sz w:val="32"/>
          <w:shd w:val="clear" w:color="auto" w:fill="FFFFFF"/>
        </w:rPr>
      </w:pPr>
      <w:r>
        <w:rPr>
          <w:rFonts w:hint="eastAsia" w:ascii="黑体" w:hAnsi="仿宋" w:eastAsia="黑体"/>
          <w:color w:val="auto"/>
          <w:sz w:val="32"/>
          <w:szCs w:val="32"/>
        </w:rPr>
        <w:t>第三十</w:t>
      </w:r>
      <w:r>
        <w:rPr>
          <w:rFonts w:hint="eastAsia" w:ascii="黑体" w:hAnsi="仿宋" w:eastAsia="黑体"/>
          <w:color w:val="auto"/>
          <w:sz w:val="32"/>
          <w:szCs w:val="32"/>
          <w:lang w:val="en-US" w:eastAsia="zh-CN"/>
        </w:rPr>
        <w:t>四</w:t>
      </w:r>
      <w:r>
        <w:rPr>
          <w:rFonts w:hint="eastAsia" w:ascii="黑体" w:hAnsi="仿宋" w:eastAsia="黑体"/>
          <w:color w:val="auto"/>
          <w:sz w:val="32"/>
          <w:szCs w:val="32"/>
        </w:rPr>
        <w:t xml:space="preserve">条 </w:t>
      </w:r>
      <w:r>
        <w:rPr>
          <w:rFonts w:hint="eastAsia" w:ascii="仿宋_GB2312" w:hAnsi="仿宋" w:eastAsia="仿宋_GB2312"/>
          <w:color w:val="auto"/>
          <w:sz w:val="32"/>
          <w:szCs w:val="32"/>
        </w:rPr>
        <w:t xml:space="preserve"> 本实施细则自印发之日起实施，由校学位评定委员会负责解释。</w:t>
      </w:r>
      <w:r>
        <w:rPr>
          <w:rFonts w:hint="eastAsia" w:ascii="仿宋_GB2312" w:hAnsi="宋体" w:eastAsia="仿宋_GB2312"/>
          <w:color w:val="auto"/>
          <w:sz w:val="32"/>
        </w:rPr>
        <w:t>原《河北科技师范学院本科毕业生授予学士学位工作细则》、《</w:t>
      </w:r>
      <w:r>
        <w:rPr>
          <w:rFonts w:hint="eastAsia" w:ascii="仿宋_GB2312" w:hAnsi="宋体" w:eastAsia="仿宋_GB2312"/>
          <w:color w:val="auto"/>
          <w:sz w:val="32"/>
          <w:shd w:val="clear" w:color="auto" w:fill="FFFFFF"/>
        </w:rPr>
        <w:t>河北科技师范学院成人高等教育本科毕业生学士学位授予工作实施细则》、《河北科技师范学院硕士学位授予工作实施细则》同时废止。</w:t>
      </w:r>
    </w:p>
    <w:p>
      <w:pPr>
        <w:snapToGrid w:val="0"/>
        <w:spacing w:line="540" w:lineRule="exact"/>
        <w:ind w:firstLine="640" w:firstLineChars="200"/>
        <w:rPr>
          <w:rFonts w:ascii="仿宋_GB2312" w:hAnsi="宋体" w:eastAsia="仿宋_GB2312"/>
          <w:color w:val="auto"/>
          <w:sz w:val="32"/>
          <w:shd w:val="clear" w:color="auto" w:fill="FFFFFF"/>
        </w:rPr>
      </w:pPr>
    </w:p>
    <w:p>
      <w:pPr>
        <w:snapToGrid w:val="0"/>
        <w:spacing w:line="540" w:lineRule="exact"/>
        <w:ind w:firstLine="640" w:firstLineChars="200"/>
        <w:rPr>
          <w:rFonts w:ascii="仿宋_GB2312" w:hAnsi="宋体" w:eastAsia="仿宋_GB2312"/>
          <w:color w:val="auto"/>
          <w:sz w:val="32"/>
          <w:shd w:val="clear" w:color="auto" w:fill="FFFFFF"/>
        </w:rPr>
      </w:pPr>
    </w:p>
    <w:p>
      <w:pPr>
        <w:snapToGrid w:val="0"/>
        <w:spacing w:line="540" w:lineRule="exact"/>
        <w:ind w:firstLine="640" w:firstLineChars="200"/>
        <w:rPr>
          <w:rFonts w:ascii="仿宋_GB2312" w:hAnsi="宋体" w:eastAsia="仿宋_GB2312"/>
          <w:color w:val="auto"/>
          <w:sz w:val="32"/>
          <w:shd w:val="clear" w:color="auto" w:fill="FFFFFF"/>
        </w:rPr>
      </w:pPr>
    </w:p>
    <w:p>
      <w:pPr>
        <w:snapToGrid w:val="0"/>
        <w:spacing w:line="540" w:lineRule="exact"/>
        <w:ind w:firstLine="640" w:firstLineChars="200"/>
        <w:rPr>
          <w:rFonts w:ascii="仿宋_GB2312" w:hAnsi="宋体" w:eastAsia="仿宋_GB2312"/>
          <w:color w:val="auto"/>
          <w:sz w:val="32"/>
          <w:shd w:val="clear" w:color="auto" w:fill="FFFFFF"/>
        </w:rPr>
      </w:pPr>
    </w:p>
    <w:p>
      <w:pPr>
        <w:snapToGrid w:val="0"/>
        <w:spacing w:line="540" w:lineRule="exact"/>
        <w:ind w:firstLine="640" w:firstLineChars="200"/>
        <w:rPr>
          <w:rFonts w:ascii="仿宋_GB2312" w:hAnsi="宋体" w:eastAsia="仿宋_GB2312"/>
          <w:color w:val="auto"/>
          <w:sz w:val="32"/>
          <w:shd w:val="clear" w:color="auto" w:fill="FFFFFF"/>
        </w:rPr>
      </w:pPr>
    </w:p>
    <w:p>
      <w:pPr>
        <w:snapToGrid w:val="0"/>
        <w:spacing w:line="540" w:lineRule="exact"/>
        <w:ind w:firstLine="640" w:firstLineChars="200"/>
        <w:rPr>
          <w:rFonts w:ascii="仿宋_GB2312" w:hAnsi="宋体" w:eastAsia="仿宋_GB2312"/>
          <w:color w:val="auto"/>
          <w:sz w:val="32"/>
          <w:shd w:val="clear" w:color="auto" w:fill="FFFFFF"/>
        </w:rPr>
      </w:pPr>
    </w:p>
    <w:p>
      <w:pPr>
        <w:snapToGrid w:val="0"/>
        <w:spacing w:line="540" w:lineRule="exact"/>
        <w:ind w:firstLine="640" w:firstLineChars="200"/>
        <w:rPr>
          <w:rFonts w:ascii="仿宋_GB2312" w:hAnsi="宋体" w:eastAsia="仿宋_GB2312"/>
          <w:color w:val="auto"/>
          <w:sz w:val="32"/>
          <w:shd w:val="clear" w:color="auto" w:fill="FFFFFF"/>
        </w:rPr>
      </w:pPr>
    </w:p>
    <w:p>
      <w:pPr>
        <w:snapToGrid w:val="0"/>
        <w:spacing w:line="540" w:lineRule="exact"/>
        <w:ind w:firstLine="640" w:firstLineChars="200"/>
        <w:rPr>
          <w:rFonts w:ascii="仿宋_GB2312" w:hAnsi="宋体" w:eastAsia="仿宋_GB2312"/>
          <w:color w:val="auto"/>
          <w:sz w:val="32"/>
          <w:shd w:val="clear" w:color="auto" w:fill="FFFFFF"/>
        </w:rPr>
      </w:pPr>
    </w:p>
    <w:p>
      <w:pPr>
        <w:snapToGrid w:val="0"/>
        <w:spacing w:line="540" w:lineRule="exact"/>
        <w:ind w:firstLine="640" w:firstLineChars="200"/>
        <w:rPr>
          <w:rFonts w:ascii="仿宋_GB2312" w:hAnsi="宋体" w:eastAsia="仿宋_GB2312"/>
          <w:color w:val="auto"/>
          <w:sz w:val="32"/>
          <w:shd w:val="clear" w:color="auto" w:fill="FFFFFF"/>
        </w:rPr>
      </w:pPr>
    </w:p>
    <w:p>
      <w:pPr>
        <w:snapToGrid w:val="0"/>
        <w:spacing w:line="540" w:lineRule="exact"/>
        <w:ind w:firstLine="640" w:firstLineChars="200"/>
        <w:rPr>
          <w:rFonts w:ascii="仿宋_GB2312" w:hAnsi="宋体" w:eastAsia="仿宋_GB2312"/>
          <w:color w:val="auto"/>
          <w:sz w:val="32"/>
          <w:shd w:val="clear" w:color="auto" w:fill="FFFFFF"/>
        </w:rPr>
      </w:pPr>
    </w:p>
    <w:p>
      <w:pPr>
        <w:snapToGrid w:val="0"/>
        <w:spacing w:line="540" w:lineRule="exact"/>
        <w:ind w:firstLine="640" w:firstLineChars="200"/>
        <w:rPr>
          <w:rFonts w:ascii="仿宋_GB2312" w:hAnsi="宋体" w:eastAsia="仿宋_GB2312"/>
          <w:color w:val="auto"/>
          <w:sz w:val="32"/>
          <w:shd w:val="clear" w:color="auto" w:fill="FFFFFF"/>
        </w:rPr>
      </w:pPr>
    </w:p>
    <w:p>
      <w:pPr>
        <w:pBdr>
          <w:top w:val="single" w:color="auto" w:sz="6" w:space="0"/>
          <w:bottom w:val="single" w:color="auto" w:sz="6" w:space="6"/>
        </w:pBdr>
        <w:spacing w:line="560" w:lineRule="exact"/>
        <w:rPr>
          <w:color w:val="auto"/>
          <w:sz w:val="28"/>
          <w:szCs w:val="28"/>
        </w:rPr>
      </w:pPr>
      <w:r>
        <w:rPr>
          <w:rFonts w:hint="eastAsia" w:ascii="仿宋_GB2312" w:eastAsia="仿宋_GB2312"/>
          <w:color w:val="auto"/>
          <w:sz w:val="32"/>
          <w:szCs w:val="28"/>
        </w:rPr>
        <w:t xml:space="preserve"> </w:t>
      </w:r>
      <w:r>
        <w:rPr>
          <w:rFonts w:hint="eastAsia" w:ascii="仿宋_GB2312" w:eastAsia="仿宋_GB2312"/>
          <w:color w:val="auto"/>
          <w:sz w:val="28"/>
          <w:szCs w:val="28"/>
        </w:rPr>
        <w:t xml:space="preserve"> 河北科技师范学院校长办公室              2017年8月15日印发</w:t>
      </w:r>
    </w:p>
    <w:sectPr>
      <w:footerReference r:id="rId3" w:type="default"/>
      <w:footerReference r:id="rId4" w:type="even"/>
      <w:pgSz w:w="11906" w:h="16838"/>
      <w:pgMar w:top="2098" w:right="1474" w:bottom="130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Helvetica sans-serif">
    <w:altName w:val="Arial"/>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仿宋_GB2312" w:eastAsia="仿宋_GB2312"/>
        <w:sz w:val="30"/>
        <w:szCs w:val="30"/>
      </w:rPr>
    </w:pPr>
    <w:r>
      <w:rPr>
        <w:rStyle w:val="10"/>
        <w:rFonts w:hint="eastAsia" w:ascii="仿宋_GB2312" w:eastAsia="仿宋_GB2312"/>
        <w:sz w:val="30"/>
        <w:szCs w:val="30"/>
      </w:rPr>
      <w:t xml:space="preserve">— </w:t>
    </w:r>
    <w:r>
      <w:rPr>
        <w:rFonts w:hint="eastAsia" w:ascii="仿宋_GB2312" w:eastAsia="仿宋_GB2312"/>
        <w:sz w:val="30"/>
        <w:szCs w:val="30"/>
      </w:rPr>
      <w:fldChar w:fldCharType="begin"/>
    </w:r>
    <w:r>
      <w:rPr>
        <w:rStyle w:val="10"/>
        <w:rFonts w:hint="eastAsia" w:ascii="仿宋_GB2312" w:eastAsia="仿宋_GB2312"/>
        <w:sz w:val="30"/>
        <w:szCs w:val="30"/>
      </w:rPr>
      <w:instrText xml:space="preserve">PAGE  </w:instrText>
    </w:r>
    <w:r>
      <w:rPr>
        <w:rFonts w:hint="eastAsia" w:ascii="仿宋_GB2312" w:eastAsia="仿宋_GB2312"/>
        <w:sz w:val="30"/>
        <w:szCs w:val="30"/>
      </w:rPr>
      <w:fldChar w:fldCharType="separate"/>
    </w:r>
    <w:r>
      <w:rPr>
        <w:rStyle w:val="10"/>
        <w:rFonts w:ascii="仿宋_GB2312" w:eastAsia="仿宋_GB2312"/>
        <w:sz w:val="30"/>
        <w:szCs w:val="30"/>
      </w:rPr>
      <w:t>13</w:t>
    </w:r>
    <w:r>
      <w:rPr>
        <w:rFonts w:hint="eastAsia" w:ascii="仿宋_GB2312" w:eastAsia="仿宋_GB2312"/>
        <w:sz w:val="30"/>
        <w:szCs w:val="30"/>
      </w:rPr>
      <w:fldChar w:fldCharType="end"/>
    </w:r>
    <w:r>
      <w:rPr>
        <w:rStyle w:val="10"/>
        <w:rFonts w:hint="eastAsia" w:ascii="仿宋_GB2312" w:eastAsia="仿宋_GB2312"/>
        <w:sz w:val="30"/>
        <w:szCs w:val="30"/>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1404F"/>
    <w:rsid w:val="0001404F"/>
    <w:rsid w:val="004174FC"/>
    <w:rsid w:val="004F6F4A"/>
    <w:rsid w:val="007355FA"/>
    <w:rsid w:val="007C4D54"/>
    <w:rsid w:val="007E78F0"/>
    <w:rsid w:val="008E3CC5"/>
    <w:rsid w:val="00962605"/>
    <w:rsid w:val="009F2EA9"/>
    <w:rsid w:val="00BC1A18"/>
    <w:rsid w:val="00C6132B"/>
    <w:rsid w:val="00F001FB"/>
    <w:rsid w:val="00F97357"/>
    <w:rsid w:val="041838EA"/>
    <w:rsid w:val="046F086F"/>
    <w:rsid w:val="078750B4"/>
    <w:rsid w:val="07F1324E"/>
    <w:rsid w:val="099A7826"/>
    <w:rsid w:val="0AD12224"/>
    <w:rsid w:val="0AF41B58"/>
    <w:rsid w:val="0C090B51"/>
    <w:rsid w:val="0FCD38C3"/>
    <w:rsid w:val="114B0A4F"/>
    <w:rsid w:val="12184B78"/>
    <w:rsid w:val="124201A1"/>
    <w:rsid w:val="12C97FBB"/>
    <w:rsid w:val="13223F8C"/>
    <w:rsid w:val="15A45E09"/>
    <w:rsid w:val="184A37E0"/>
    <w:rsid w:val="1B4249AA"/>
    <w:rsid w:val="20C96271"/>
    <w:rsid w:val="22FE2639"/>
    <w:rsid w:val="26B82B60"/>
    <w:rsid w:val="27A741DD"/>
    <w:rsid w:val="28295BF9"/>
    <w:rsid w:val="2BE07F3D"/>
    <w:rsid w:val="2BFA28C4"/>
    <w:rsid w:val="347A38C3"/>
    <w:rsid w:val="35337F64"/>
    <w:rsid w:val="37D5513A"/>
    <w:rsid w:val="38001F5A"/>
    <w:rsid w:val="381524B7"/>
    <w:rsid w:val="387A0C7E"/>
    <w:rsid w:val="38DF40C1"/>
    <w:rsid w:val="3BBA6155"/>
    <w:rsid w:val="40C562E8"/>
    <w:rsid w:val="419313E7"/>
    <w:rsid w:val="420C2A70"/>
    <w:rsid w:val="491304EB"/>
    <w:rsid w:val="4A4047F1"/>
    <w:rsid w:val="57AB59C6"/>
    <w:rsid w:val="588C288D"/>
    <w:rsid w:val="59461007"/>
    <w:rsid w:val="59692F33"/>
    <w:rsid w:val="5A437A9E"/>
    <w:rsid w:val="5A4938D2"/>
    <w:rsid w:val="5BDE1552"/>
    <w:rsid w:val="5C673341"/>
    <w:rsid w:val="5DB95E04"/>
    <w:rsid w:val="5F0B6287"/>
    <w:rsid w:val="61A27680"/>
    <w:rsid w:val="65273EC8"/>
    <w:rsid w:val="67A4457A"/>
    <w:rsid w:val="685B3DAD"/>
    <w:rsid w:val="6884594D"/>
    <w:rsid w:val="68B17863"/>
    <w:rsid w:val="695559BE"/>
    <w:rsid w:val="6A9F61C0"/>
    <w:rsid w:val="6EFE3DE8"/>
    <w:rsid w:val="6FCC5DE0"/>
    <w:rsid w:val="71936963"/>
    <w:rsid w:val="725523A6"/>
    <w:rsid w:val="74951A98"/>
    <w:rsid w:val="787B4139"/>
    <w:rsid w:val="78C00F34"/>
    <w:rsid w:val="790B2AB6"/>
    <w:rsid w:val="7932245E"/>
    <w:rsid w:val="798350A7"/>
    <w:rsid w:val="7B4068F3"/>
    <w:rsid w:val="7B5F62C0"/>
    <w:rsid w:val="7B6D0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spacing w:line="500" w:lineRule="exact"/>
      <w:ind w:firstLine="540"/>
    </w:pPr>
    <w:rPr>
      <w:rFonts w:eastAsia="仿宋_GB2312"/>
      <w:sz w:val="32"/>
      <w:szCs w:val="20"/>
    </w:rPr>
  </w:style>
  <w:style w:type="paragraph" w:styleId="3">
    <w:name w:val="Plain Text"/>
    <w:basedOn w:val="1"/>
    <w:qFormat/>
    <w:uiPriority w:val="0"/>
    <w:rPr>
      <w:rFonts w:ascii="宋体" w:hAnsi="Courier New" w:cs="Courier New"/>
      <w:szCs w:val="21"/>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customStyle="1" w:styleId="12">
    <w:name w:val="页眉 Char"/>
    <w:basedOn w:val="9"/>
    <w:link w:val="6"/>
    <w:qFormat/>
    <w:uiPriority w:val="0"/>
    <w:rPr>
      <w:kern w:val="2"/>
      <w:sz w:val="18"/>
      <w:szCs w:val="18"/>
    </w:rPr>
  </w:style>
  <w:style w:type="character" w:customStyle="1" w:styleId="13">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16</Pages>
  <Words>1196</Words>
  <Characters>6820</Characters>
  <Lines>56</Lines>
  <Paragraphs>15</Paragraphs>
  <ScaleCrop>false</ScaleCrop>
  <LinksUpToDate>false</LinksUpToDate>
  <CharactersWithSpaces>8001</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2017-11-01T08:44:00Z</cp:lastPrinted>
  <dcterms:modified xsi:type="dcterms:W3CDTF">2017-12-07T09:28:34Z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